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《南三镇渔业疫情防控应急预案》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府〔202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《南三镇渔业疫情防控应急预案》（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府〔202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为便于有关单位更好地理解相关内容，切实做好贯彻实施工作，现就有关情况解读如下：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关于《总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则</w:t>
      </w:r>
      <w:r>
        <w:rPr>
          <w:rFonts w:hint="eastAsia" w:ascii="仿宋" w:hAnsi="仿宋" w:eastAsia="仿宋" w:cs="仿宋"/>
          <w:sz w:val="32"/>
          <w:szCs w:val="32"/>
        </w:rPr>
        <w:t>》定位。《总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则</w:t>
      </w:r>
      <w:r>
        <w:rPr>
          <w:rFonts w:hint="eastAsia" w:ascii="仿宋" w:hAnsi="仿宋" w:eastAsia="仿宋" w:cs="仿宋"/>
          <w:sz w:val="32"/>
          <w:szCs w:val="32"/>
        </w:rPr>
        <w:t>》是指导我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镇渔业疫情防控应急预案</w:t>
      </w:r>
      <w:r>
        <w:rPr>
          <w:rFonts w:hint="eastAsia" w:ascii="仿宋" w:hAnsi="仿宋" w:eastAsia="仿宋" w:cs="仿宋"/>
          <w:sz w:val="32"/>
          <w:szCs w:val="32"/>
        </w:rPr>
        <w:t>的总纲，是我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组织应对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渔业疫情防控</w:t>
      </w:r>
      <w:r>
        <w:rPr>
          <w:rFonts w:hint="eastAsia" w:ascii="仿宋" w:hAnsi="仿宋" w:eastAsia="仿宋" w:cs="仿宋"/>
          <w:sz w:val="32"/>
          <w:szCs w:val="32"/>
        </w:rPr>
        <w:t>的总体制度性安排，是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渔业疫情防控</w:t>
      </w:r>
      <w:r>
        <w:rPr>
          <w:rFonts w:hint="eastAsia" w:ascii="仿宋" w:hAnsi="仿宋" w:eastAsia="仿宋" w:cs="仿宋"/>
          <w:sz w:val="32"/>
          <w:szCs w:val="32"/>
        </w:rPr>
        <w:t>工作重要抓手。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主要目的是为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聚焦严防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“海上输入”工作目标，全面加强海上渔船管控，主动担当作为，调动各村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力量，充分利用科技手段，全面监测监控，进一步加强海上疫情防控工作，构筑海上疫情防控的坚固防线。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适用范围是新冠肺炎疫情防控期间，我镇出海作业渔船回港、渔民上岸、渔船维修等涉及场所及其工作人员。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领导小组的职责，按照省、市的部署，在区委区政府领导下,统筹协调全镇应对渔业新型冠状病毒感染肺炎疫情防控工作;落细落实管控措施，精准做好“外防输入、内防反弹”，降低疫情输入传播风险。确保全镇渔业疫情防控工作全覆盖、抓落实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关于明确分工，一是组长、副组长。根据上级防疫通知要求，召开渔船疫情防控工作领导小组会议，传达上级指示，对相关工作进行部署。启动应急预案，实时掌握值班情况，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强渔船、渔民管控统筹指导，详细部署境外疫情海上输入防控工作，全面加强渔业船舶管控工作，深入渔村、渔港开展宣传，引导渔民船东不得擅自从海上接泊境外人员入境，提高渔民群众反偷私渡防疫情的自觉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二是业务办公室成员、各村（居）委会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。落实在册渔船及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渔船疫情防控责任人，做到包船到人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，一船一台账。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积极开展宣传教育，禁止渔船载客载货及赴敏感海域，密切关注疫情发展动态，及时向渔业从业人员发送疫情信息；做好应对疫情突发事件的准备工作。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应急防控措施，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渔船进港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逐一登记造册。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各村（居）委会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要切实做好全片区渔船摸排登记，全面掌握辖区内渔船、渔民、船员动态信息，对辖区内渔船进行登记造册，实行包船到人、定人联船。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强化物资储备。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各村（居）委会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根据防控要求，为船员配备口罩、测温仪等防护用品和洗手液、消毒水、酒精等消杀用品。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严格进出港报告制度。一是国库在册渔船。国库在册渔船每次出海前，船长要提前24小时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出海船员名单及核酸检测结果如实向区海洋与渔业执法大队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及村（居）委会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报备，不得存在瞒报行为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，回港须提前24小时将渔船进港情况和进港船员名单向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区海洋与渔业执法大队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及村（居）委会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报备。二是乡镇渔船。乡镇渔船每次出港前，应提前2小时向村（居）委会网格员报备，报备内容包括：计划出港时间、作业海域、船上具体人员及核酸检测结果、消防和救生设备配备情况、跟帮生产情况、计划回港时间等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；乡镇渔船应于回港前 1小时向村（居）委会网格员报备，村（居）委会网格员应填报好乡镇渔船进出港报备台帐，并每天向乡镇疫情防控部门报告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。三是外籍渔船。非湛江籍的渔船出港参照国库在册渔船实施出港管控。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严密监测船员健康。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各村（居）委会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应督促船员在海上期间佩戴口罩，建立船员体温日常报告检测制度，发现异常及时报告；每日应对渔船进行清洗消毒，增加驾驶室、船舱等重点区域消毒频次；保证船上食材安全、餐具卫生，实行分餐制。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及时核查上报。渔船到港时，核对船上人员信息，进行体温检测，做到不落一船一人。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实施渔船不同作业海域分类管控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一是作业期间与境外船舶有接触的渔船，船上人员需落 实“7 天集中隔离医学观察+3 天居家健康监测”（其中第 1、2、3、5、7、10 天分别进行一次核酸检测）管理，其中7天集中隔离医学观察应在船上或集中隔离场所进行。二是凡赴台浅、东沙、西沙、南沙、北部湾中越共同渔区等海域作业的渔船，但没有与境外渔船接触的，船上船员须落实“7天3检”。如需回家，待“3天2检”核酸检测阴性后方可离船上岸，在家实行4天居家健康监测，并在第4天进行1次核酸检测；期间需要出海作业的，可由专车转运出海；无需离船回家的人员，落实在船上闭环完成“7天3检”。三是对离开本市海域作业但未到敏感海域的渔船，船员离船上岸前需进行1次核酸检测，待核酸检测结果阴性后方能上岸。四是对未离开本市海域且未到敏感海域作业的渔船，以及在港内作业的海洋捕捞辅助船，由镇政府按每周25%比例对渔民进行1次核酸检测，每月实现渔员全覆盖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应急响应。发现搭载非报备出海的其他人员，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各村（居）委会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要及时报给区海洋与渔业执法大队、公安等执法部门，若发现船上人员发热、咳嗽等情形，则启动应急响应，各相关行政村报告片区，由片区按区防控程序和工作要求组织落实，报区农业农村局协调处置。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应急响应终止，1.渔区新冠肺炎疫情得到有效控制，经报告镇防控指挥部批准同意,镇防控领导小组及时发布应急响应终止。2.要对疫情发生经过、采取的应对措施以及应急处置过程中存在的问题等进行全面评估、总结。3.在落实各项防控措施，确保安全、卫生、健康的前提下，要指导、组织好当地渔业复工复产各项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物资保障,做好疫情防控所需口罩、护目镜、消毒液、手套、鞋套、防护服等各类防护物资储备,重点加强对一线人员的防护保障,降低工作过程中感染疫情风险。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88904"/>
    <w:multiLevelType w:val="singleLevel"/>
    <w:tmpl w:val="BCA889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NkMDdhMGM2NzQ4MmE0MTczMTVlN2RlZGY4MjIifQ=="/>
  </w:docVars>
  <w:rsids>
    <w:rsidRoot w:val="1F080C34"/>
    <w:rsid w:val="1E642C66"/>
    <w:rsid w:val="1F080C34"/>
    <w:rsid w:val="24294F83"/>
    <w:rsid w:val="2CAD22EA"/>
    <w:rsid w:val="3739318B"/>
    <w:rsid w:val="3AB5172D"/>
    <w:rsid w:val="469853C0"/>
    <w:rsid w:val="5F9A5E4E"/>
    <w:rsid w:val="67902011"/>
    <w:rsid w:val="77272285"/>
    <w:rsid w:val="7A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left="0"/>
    </w:pPr>
    <w:rPr>
      <w:rFonts w:ascii="仿宋_GB2312" w:hAnsi="仿宋_GB2312" w:eastAsia="仿宋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2043</Words>
  <Characters>2058</Characters>
  <Lines>0</Lines>
  <Paragraphs>0</Paragraphs>
  <TotalTime>45</TotalTime>
  <ScaleCrop>false</ScaleCrop>
  <LinksUpToDate>false</LinksUpToDate>
  <CharactersWithSpaces>2064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2022-08-16T08:58:00Z</dcterms:created>
  <dc:creator>Administrator</dc:creator>
  <cp:lastModifiedBy>Administrator</cp:lastModifiedBy>
  <dcterms:modified xsi:type="dcterms:W3CDTF">2022-08-17T02:25:32Z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13FB4CDA34B94C2E8D99A0C5F8673C91</vt:lpwstr>
  </property>
</Properties>
</file>