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cs="Times New Roman"/>
          <w:sz w:val="32"/>
          <w:szCs w:val="32"/>
        </w:rPr>
      </w:pPr>
    </w:p>
    <w:p>
      <w:pPr>
        <w:spacing w:line="560" w:lineRule="exact"/>
        <w:jc w:val="center"/>
        <w:rPr>
          <w:rFonts w:ascii="宋体" w:hAnsi="宋体" w:cs="Times New Roman"/>
          <w:sz w:val="32"/>
          <w:szCs w:val="32"/>
        </w:rPr>
      </w:pPr>
    </w:p>
    <w:p>
      <w:pPr>
        <w:spacing w:line="560" w:lineRule="exact"/>
        <w:jc w:val="center"/>
        <w:rPr>
          <w:rFonts w:ascii="宋体" w:hAnsi="宋体" w:cs="Times New Roman"/>
          <w:sz w:val="44"/>
          <w:szCs w:val="44"/>
        </w:rPr>
      </w:pPr>
    </w:p>
    <w:p>
      <w:pPr>
        <w:pStyle w:val="2"/>
        <w:snapToGrid w:val="0"/>
        <w:spacing w:after="0" w:line="579" w:lineRule="exact"/>
        <w:jc w:val="center"/>
        <w:rPr>
          <w:rFonts w:hint="eastAsia" w:ascii="Times New Roman" w:hAnsi="Times New Roman" w:eastAsia="长城小标宋体" w:cs="长城小标宋体"/>
          <w:sz w:val="44"/>
          <w:szCs w:val="44"/>
        </w:rPr>
      </w:pPr>
      <w:r>
        <w:rPr>
          <w:rFonts w:hint="eastAsia" w:ascii="Times New Roman" w:hAnsi="Times New Roman" w:eastAsia="长城小标宋体" w:cs="长城小标宋体"/>
          <w:sz w:val="44"/>
          <w:szCs w:val="44"/>
        </w:rPr>
        <w:t>湛江市坡头区审计局202</w:t>
      </w:r>
      <w:r>
        <w:rPr>
          <w:rFonts w:hint="eastAsia" w:ascii="Times New Roman" w:hAnsi="Times New Roman" w:eastAsia="长城小标宋体" w:cs="长城小标宋体"/>
          <w:sz w:val="44"/>
          <w:szCs w:val="44"/>
          <w:lang w:val="en-US" w:eastAsia="zh-CN"/>
        </w:rPr>
        <w:t>2</w:t>
      </w:r>
      <w:r>
        <w:rPr>
          <w:rFonts w:hint="eastAsia" w:ascii="Times New Roman" w:hAnsi="Times New Roman" w:eastAsia="长城小标宋体" w:cs="长城小标宋体"/>
          <w:sz w:val="44"/>
          <w:szCs w:val="44"/>
        </w:rPr>
        <w:t>年度</w:t>
      </w:r>
    </w:p>
    <w:p>
      <w:pPr>
        <w:pStyle w:val="2"/>
        <w:snapToGrid w:val="0"/>
        <w:spacing w:after="0" w:line="579" w:lineRule="exact"/>
        <w:jc w:val="center"/>
        <w:rPr>
          <w:rFonts w:ascii="Times New Roman" w:hAnsi="Times New Roman" w:eastAsia="长城小标宋体" w:cs="长城小标宋体"/>
          <w:sz w:val="44"/>
          <w:szCs w:val="44"/>
        </w:rPr>
      </w:pPr>
      <w:r>
        <w:rPr>
          <w:rFonts w:hint="eastAsia" w:ascii="Times New Roman" w:hAnsi="Times New Roman" w:eastAsia="长城小标宋体" w:cs="长城小标宋体"/>
          <w:sz w:val="44"/>
          <w:szCs w:val="44"/>
        </w:rPr>
        <w:t>政府信息</w:t>
      </w:r>
      <w:r>
        <w:rPr>
          <w:rFonts w:hint="eastAsia" w:ascii="Times New Roman" w:hAnsi="Times New Roman" w:eastAsia="长城小标宋体" w:cs="长城小标宋体"/>
          <w:sz w:val="44"/>
          <w:szCs w:val="44"/>
          <w:lang w:eastAsia="zh-CN"/>
        </w:rPr>
        <w:t>公</w:t>
      </w:r>
      <w:r>
        <w:rPr>
          <w:rFonts w:hint="eastAsia" w:ascii="Times New Roman" w:hAnsi="Times New Roman" w:eastAsia="长城小标宋体" w:cs="长城小标宋体"/>
          <w:sz w:val="44"/>
          <w:szCs w:val="44"/>
        </w:rPr>
        <w:t>开工作年度报告</w:t>
      </w:r>
    </w:p>
    <w:p>
      <w:pPr>
        <w:pStyle w:val="2"/>
        <w:snapToGrid w:val="0"/>
        <w:spacing w:after="0" w:line="579" w:lineRule="exact"/>
        <w:jc w:val="center"/>
        <w:rPr>
          <w:rFonts w:hint="eastAsia" w:ascii="宋体" w:hAnsi="宋体"/>
          <w:kern w:val="0"/>
          <w:sz w:val="44"/>
          <w:szCs w:val="44"/>
        </w:rPr>
      </w:pPr>
    </w:p>
    <w:p>
      <w:pPr>
        <w:ind w:firstLine="640" w:firstLineChars="200"/>
        <w:rPr>
          <w:rFonts w:ascii="Times New Roman" w:hAnsi="Times New Roman" w:eastAsia="仿宋_GB2312" w:cs="Times New Roman"/>
          <w:sz w:val="32"/>
          <w:szCs w:val="32"/>
        </w:rPr>
      </w:pPr>
      <w:bookmarkStart w:id="0" w:name="_Hlk93043719"/>
      <w:r>
        <w:rPr>
          <w:rFonts w:hint="eastAsia" w:ascii="Times New Roman" w:hAnsi="Times New Roman" w:eastAsia="仿宋_GB2312" w:cs="Times New Roman"/>
          <w:sz w:val="32"/>
          <w:szCs w:val="32"/>
        </w:rPr>
        <w:t>根据《中华人民共和国政府信息公开条例》的规定以及</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rPr>
        <w:t>区政府信息公开有关要求，现将湛江市坡头区审计局202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年政府信息公开工作年度报告予以公开。报告全文包括：总体情况、主动公开政府信息情况、收到和处理政府信息公开申请情况，政府信息公开行政复议、行政诉讼情况，存在的主要问题及改进情况</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其他需要报告的事项。本报告中所列数据的统计时限自202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年12月31日止。</w:t>
      </w:r>
    </w:p>
    <w:p>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一、总体情况</w:t>
      </w:r>
    </w:p>
    <w:bookmarkEnd w:id="0"/>
    <w:p>
      <w:pPr>
        <w:topLinePunct/>
        <w:adjustRightInd w:val="0"/>
        <w:snapToGrid w:val="0"/>
        <w:spacing w:line="578" w:lineRule="exact"/>
        <w:ind w:firstLine="627" w:firstLineChars="200"/>
        <w:outlineLvl w:val="0"/>
        <w:rPr>
          <w:rFonts w:hint="eastAsia" w:ascii="楷体_GB2312" w:hAnsi="黑体" w:eastAsia="楷体_GB2312" w:cs="Times New Roman"/>
          <w:b/>
          <w:bCs/>
          <w:snapToGrid w:val="0"/>
          <w:spacing w:val="-4"/>
          <w:kern w:val="0"/>
          <w:sz w:val="32"/>
          <w:szCs w:val="32"/>
        </w:rPr>
      </w:pPr>
      <w:r>
        <w:rPr>
          <w:rFonts w:hint="eastAsia" w:ascii="楷体_GB2312" w:hAnsi="黑体" w:eastAsia="楷体_GB2312" w:cs="Times New Roman"/>
          <w:b/>
          <w:bCs/>
          <w:snapToGrid w:val="0"/>
          <w:spacing w:val="-4"/>
          <w:kern w:val="0"/>
          <w:sz w:val="32"/>
          <w:szCs w:val="32"/>
        </w:rPr>
        <w:t>（一）公开情况</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区审计局在本单位职责范围内，负责主动或依申请公开下列各类信息：公开目录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主要包括区审计局政府信息主动公开基本目录具体内容</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包括主要依据、责任主体、公开时限、公开方式、监督渠道、目录内容等信息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；办事指南</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主要包括区审计局联系电话、地点、电子邮箱等信息；组织机构</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主要包括局领导班子成员相关信息及分工、区审计局职责、内设机构等信息；部门文件</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主要包括部门文件、审计法律、行政法规、规章（审计领域法律、行政法规和规章）；重点领域信息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主要包括年度区级预算执行和其他财政收支的审计工作报告、有关审计结果公告；工作动态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主要包括日常审计工作动态；财政预决算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主要包括年度财政预算、决算信息等方面的信息；政府信息公开年度报告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主要包括区审计局政府信息公开年度报告全文。2021年度累计主动公开政府信息</w:t>
      </w:r>
      <w:r>
        <w:rPr>
          <w:rFonts w:hint="eastAsia" w:ascii="Times New Roman" w:hAnsi="Times New Roman" w:eastAsia="仿宋_GB2312" w:cs="Times New Roman"/>
          <w:sz w:val="32"/>
          <w:szCs w:val="32"/>
          <w:lang w:val="en-US" w:eastAsia="zh-CN"/>
        </w:rPr>
        <w:t>5</w:t>
      </w:r>
      <w:bookmarkStart w:id="1" w:name="_GoBack"/>
      <w:bookmarkEnd w:id="1"/>
      <w:r>
        <w:rPr>
          <w:rFonts w:hint="eastAsia" w:ascii="Times New Roman" w:hAnsi="Times New Roman" w:eastAsia="仿宋_GB2312" w:cs="Times New Roman"/>
          <w:sz w:val="32"/>
          <w:szCs w:val="32"/>
        </w:rPr>
        <w:t>2条（其中：政府信息公开指南1条、政府信息公开年报2条、办事指南1条、组织机构2条、部门文件动态10条、审计结果报告1条、工作动态</w:t>
      </w:r>
      <w:r>
        <w:rPr>
          <w:rFonts w:hint="eastAsia"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rPr>
        <w:t>条、单位预算1条）</w:t>
      </w:r>
      <w:r>
        <w:rPr>
          <w:rFonts w:hint="eastAsia" w:ascii="Times New Roman" w:hAnsi="Times New Roman" w:eastAsia="仿宋_GB2312" w:cs="Times New Roman"/>
          <w:sz w:val="32"/>
          <w:szCs w:val="32"/>
          <w:lang w:eastAsia="zh-CN"/>
        </w:rPr>
        <w:t>。</w:t>
      </w:r>
    </w:p>
    <w:p>
      <w:pPr>
        <w:topLinePunct/>
        <w:adjustRightInd w:val="0"/>
        <w:snapToGrid w:val="0"/>
        <w:spacing w:line="578" w:lineRule="exact"/>
        <w:ind w:firstLine="627" w:firstLineChars="200"/>
        <w:outlineLvl w:val="0"/>
        <w:rPr>
          <w:rFonts w:hint="eastAsia" w:ascii="楷体_GB2312" w:hAnsi="黑体" w:eastAsia="楷体_GB2312" w:cs="Times New Roman"/>
          <w:b/>
          <w:bCs/>
          <w:snapToGrid w:val="0"/>
          <w:spacing w:val="-4"/>
          <w:kern w:val="0"/>
          <w:sz w:val="32"/>
          <w:szCs w:val="32"/>
        </w:rPr>
      </w:pPr>
      <w:r>
        <w:rPr>
          <w:rFonts w:hint="eastAsia" w:ascii="楷体_GB2312" w:hAnsi="黑体" w:eastAsia="楷体_GB2312" w:cs="Times New Roman"/>
          <w:b/>
          <w:bCs/>
          <w:snapToGrid w:val="0"/>
          <w:spacing w:val="-4"/>
          <w:kern w:val="0"/>
          <w:sz w:val="32"/>
          <w:szCs w:val="32"/>
        </w:rPr>
        <w:t>（二）公开形式</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主要</w:t>
      </w:r>
      <w:r>
        <w:rPr>
          <w:rFonts w:hint="eastAsia" w:ascii="Times New Roman" w:hAnsi="Times New Roman" w:eastAsia="仿宋_GB2312" w:cs="Times New Roman"/>
          <w:sz w:val="32"/>
          <w:szCs w:val="32"/>
        </w:rPr>
        <w:t>通过湛江市坡头区审计局政府信息公开查询点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办公区公开栏、</w:t>
      </w:r>
      <w:r>
        <w:rPr>
          <w:rFonts w:hint="eastAsia" w:ascii="Times New Roman" w:hAnsi="Times New Roman" w:eastAsia="仿宋_GB2312" w:cs="Times New Roman"/>
          <w:sz w:val="32"/>
          <w:szCs w:val="32"/>
          <w:lang w:eastAsia="zh-CN"/>
        </w:rPr>
        <w:t>政府网站等形式公开</w:t>
      </w:r>
      <w:r>
        <w:rPr>
          <w:rFonts w:hint="eastAsia" w:ascii="Times New Roman" w:hAnsi="Times New Roman" w:eastAsia="仿宋_GB2312" w:cs="Times New Roman"/>
          <w:sz w:val="32"/>
          <w:szCs w:val="32"/>
        </w:rPr>
        <w:t>审计局</w:t>
      </w:r>
      <w:r>
        <w:rPr>
          <w:rFonts w:hint="eastAsia" w:ascii="Times New Roman" w:hAnsi="Times New Roman" w:eastAsia="仿宋_GB2312" w:cs="Times New Roman"/>
          <w:sz w:val="32"/>
          <w:szCs w:val="32"/>
          <w:lang w:eastAsia="zh-CN"/>
        </w:rPr>
        <w:t>有关</w:t>
      </w:r>
      <w:r>
        <w:rPr>
          <w:rFonts w:hint="eastAsia" w:ascii="Times New Roman" w:hAnsi="Times New Roman" w:eastAsia="仿宋_GB2312" w:cs="Times New Roman"/>
          <w:sz w:val="32"/>
          <w:szCs w:val="32"/>
        </w:rPr>
        <w:t>信息。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1、政府信息公开查询点</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。湛江市坡头区审计局政府信息公开查询室设在审计局办公室。</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2、公开栏</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。在办公楼</w:t>
      </w:r>
      <w:r>
        <w:rPr>
          <w:rFonts w:hint="eastAsia" w:ascii="Times New Roman" w:hAnsi="Times New Roman" w:eastAsia="仿宋_GB2312" w:cs="Times New Roman"/>
          <w:sz w:val="32"/>
          <w:szCs w:val="32"/>
          <w:lang w:eastAsia="zh-CN"/>
        </w:rPr>
        <w:t>大楼外以及各楼层</w:t>
      </w:r>
      <w:r>
        <w:rPr>
          <w:rFonts w:hint="eastAsia" w:ascii="Times New Roman" w:hAnsi="Times New Roman" w:eastAsia="仿宋_GB2312" w:cs="Times New Roman"/>
          <w:sz w:val="32"/>
          <w:szCs w:val="32"/>
        </w:rPr>
        <w:t>设立了专门的政务（党务）公开宣传栏，加大审计监督宣传力度，提高审计监督在群众中的威信和形象，营造了浓厚的审计监督政务公开氛围。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网站</w:t>
      </w:r>
      <w:r>
        <w:rPr>
          <w:rFonts w:hint="eastAsia" w:ascii="Times New Roman" w:hAnsi="Times New Roman" w:eastAsia="仿宋_GB2312" w:cs="Times New Roman"/>
          <w:sz w:val="32"/>
          <w:szCs w:val="32"/>
        </w:rPr>
        <w:t>公开。全面推行审计监督“阳光政务”，</w:t>
      </w:r>
      <w:r>
        <w:rPr>
          <w:rFonts w:hint="eastAsia" w:ascii="Times New Roman" w:hAnsi="Times New Roman" w:eastAsia="仿宋_GB2312" w:cs="Times New Roman"/>
          <w:sz w:val="32"/>
          <w:szCs w:val="32"/>
          <w:lang w:eastAsia="zh-CN"/>
        </w:rPr>
        <w:t>通过政府网站</w:t>
      </w:r>
      <w:r>
        <w:rPr>
          <w:rFonts w:hint="eastAsia" w:ascii="Times New Roman" w:hAnsi="Times New Roman" w:eastAsia="仿宋_GB2312" w:cs="Times New Roman"/>
          <w:sz w:val="32"/>
          <w:szCs w:val="32"/>
        </w:rPr>
        <w:t>主动公开办事指南、信息公开指南及审计结果公告、日常动态等，方便群众及时了解审计局工作情况、审计情况、办事流程等关键信息。</w:t>
      </w:r>
    </w:p>
    <w:p>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二、依申请公开政府信息和不予公开政府信息的情况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2021年，我局未接到要求公开政府信息的申请件。</w:t>
      </w:r>
    </w:p>
    <w:p>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三、政府信息公开的收费及减免情况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2021年我局无受理依申请公开事项，因此没有政府信息公开的收费及减免情况。</w:t>
      </w:r>
    </w:p>
    <w:p>
      <w:pPr>
        <w:topLinePunct/>
        <w:adjustRightInd w:val="0"/>
        <w:snapToGrid w:val="0"/>
        <w:spacing w:line="578" w:lineRule="exact"/>
        <w:ind w:firstLine="624" w:firstLineChars="200"/>
        <w:outlineLvl w:val="0"/>
        <w:rPr>
          <w:rFonts w:hint="eastAsia"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四、主动公开政府信息情况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w:t>
            </w:r>
            <w:r>
              <w:rPr>
                <w:rFonts w:ascii="宋体" w:hAnsi="宋体" w:cs="Calibri"/>
                <w:kern w:val="0"/>
                <w:sz w:val="20"/>
                <w:szCs w:val="20"/>
              </w:rPr>
              <w:t>制</w:t>
            </w:r>
            <w:r>
              <w:rPr>
                <w:rFonts w:hint="eastAsia" w:ascii="宋体" w:hAnsi="宋体" w:cs="宋体"/>
                <w:kern w:val="0"/>
                <w:sz w:val="20"/>
                <w:szCs w:val="20"/>
              </w:rPr>
              <w:t>发件</w:t>
            </w:r>
            <w:r>
              <w:rPr>
                <w:rFonts w:ascii="宋体" w:hAnsi="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现行有效件</w:t>
            </w:r>
            <w:r>
              <w:rPr>
                <w:rFonts w:ascii="宋体" w:hAnsi="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cs="Calibri"/>
                <w:kern w:val="0"/>
                <w:szCs w:val="21"/>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cs="Calibri"/>
                <w:kern w:val="0"/>
                <w:szCs w:val="21"/>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cs="Calibri"/>
                <w:kern w:val="0"/>
                <w:szCs w:val="21"/>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0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w:t>
            </w:r>
          </w:p>
        </w:tc>
      </w:tr>
    </w:tbl>
    <w:p>
      <w:pPr>
        <w:topLinePunct/>
        <w:adjustRightInd w:val="0"/>
        <w:snapToGrid w:val="0"/>
        <w:spacing w:line="578" w:lineRule="exact"/>
        <w:ind w:firstLine="624" w:firstLineChars="200"/>
        <w:outlineLvl w:val="0"/>
        <w:rPr>
          <w:rFonts w:hint="eastAsia"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四、收到和处理政府信息公开申请情况</w:t>
      </w:r>
    </w:p>
    <w:tbl>
      <w:tblPr>
        <w:tblStyle w:val="6"/>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商业</w:t>
            </w:r>
          </w:p>
          <w:p>
            <w:pPr>
              <w:widowControl/>
              <w:jc w:val="center"/>
              <w:rPr>
                <w:rFonts w:ascii="宋体" w:hAnsi="宋体" w:cs="宋体"/>
                <w:kern w:val="0"/>
                <w:sz w:val="24"/>
                <w:szCs w:val="24"/>
              </w:rP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科研</w:t>
            </w:r>
          </w:p>
          <w:p>
            <w:pPr>
              <w:widowControl/>
              <w:jc w:val="center"/>
              <w:rPr>
                <w:rFonts w:ascii="宋体" w:hAnsi="宋体" w:cs="宋体"/>
                <w:kern w:val="0"/>
                <w:sz w:val="24"/>
                <w:szCs w:val="24"/>
              </w:rP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right"/>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ind w:firstLine="200" w:firstLineChars="100"/>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rPr>
                <w:rFonts w:ascii="宋体" w:hAnsi="宋体" w:cs="宋体"/>
                <w:kern w:val="0"/>
                <w:sz w:val="24"/>
                <w:szCs w:val="24"/>
              </w:rPr>
            </w:pPr>
            <w:r>
              <w:rPr>
                <w:rFonts w:cs="Calibri"/>
                <w:kern w:val="0"/>
                <w:sz w:val="20"/>
                <w:szCs w:val="20"/>
              </w:rPr>
              <w:t> 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4"/>
                <w:szCs w:val="24"/>
              </w:rPr>
              <w:t>0</w:t>
            </w:r>
          </w:p>
        </w:tc>
      </w:tr>
    </w:tbl>
    <w:p>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五、政府信息公开行政复议、行政诉讼情况</w:t>
      </w:r>
    </w:p>
    <w:p>
      <w:pPr>
        <w:widowControl/>
        <w:shd w:val="clear" w:color="auto" w:fill="FFFFFF"/>
        <w:jc w:val="center"/>
        <w:rPr>
          <w:rFonts w:ascii="宋体" w:hAnsi="宋体" w:cs="宋体"/>
          <w:color w:val="333333"/>
          <w:kern w:val="0"/>
          <w:sz w:val="34"/>
          <w:szCs w:val="34"/>
        </w:rPr>
      </w:pPr>
    </w:p>
    <w:tbl>
      <w:tblPr>
        <w:tblStyle w:val="6"/>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w:t>
            </w:r>
          </w:p>
        </w:tc>
      </w:tr>
    </w:tbl>
    <w:p>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六、存在的主要问题及改进情况</w:t>
      </w:r>
    </w:p>
    <w:p>
      <w:pPr>
        <w:topLinePunct/>
        <w:adjustRightInd w:val="0"/>
        <w:snapToGrid w:val="0"/>
        <w:spacing w:line="578" w:lineRule="exact"/>
        <w:ind w:firstLine="640" w:firstLineChars="200"/>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年我局进一步推进了网站</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工作，在明确各股室及下属单位直属所网站信息公开职责的同时，不断丰富公开内容和提高业务水平，取得了一定的成效，但尚存在一些不足和差距，主要表现在：各股室及下属二级单位直属所未注意及时收集并提交审计动态及其他应公开文件进行网站公开，存在提交公开文件滞后情况。</w:t>
      </w:r>
    </w:p>
    <w:p>
      <w:pPr>
        <w:topLinePunct/>
        <w:adjustRightInd w:val="0"/>
        <w:snapToGrid w:val="0"/>
        <w:spacing w:line="578"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我局将按照信息公开条例等有关公开规定及区政府有关要求，准确把握“十四五”开局起步之年审计工作</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新任务、新要求，依法全面履行审计监督职责，做好常态化“经济体检”工作，大力深化审计政务公开，充分发挥</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监督</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作用，以公开促建、以公开促改，提高各项工作的透明度，着力打造详尽、绿色、有温度的阳光审计“名片”，切实满足人民群众获取审计信息的合理需求，不断丰富完善政府信息公开目录和内容，并积极开展政务公开常态化工作，及时督促各股室及下属单位直属所主</w:t>
      </w:r>
      <w:r>
        <w:rPr>
          <w:rFonts w:hint="eastAsia" w:ascii="Times New Roman" w:hAnsi="Times New Roman" w:eastAsia="仿宋_GB2312" w:cs="Times New Roman"/>
          <w:sz w:val="32"/>
          <w:szCs w:val="32"/>
          <w:lang w:eastAsia="zh-CN"/>
        </w:rPr>
        <w:t>动</w:t>
      </w:r>
      <w:r>
        <w:rPr>
          <w:rFonts w:hint="eastAsia" w:ascii="Times New Roman" w:hAnsi="Times New Roman" w:eastAsia="仿宋_GB2312" w:cs="Times New Roman"/>
          <w:sz w:val="32"/>
          <w:szCs w:val="32"/>
        </w:rPr>
        <w:t>收集并提交审计动态及其他需公开信息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充分发挥网站公开作用，不断提升</w:t>
      </w:r>
      <w:r>
        <w:rPr>
          <w:rFonts w:hint="eastAsia" w:ascii="Times New Roman" w:hAnsi="Times New Roman" w:eastAsia="仿宋_GB2312" w:cs="Times New Roman"/>
          <w:sz w:val="32"/>
          <w:szCs w:val="32"/>
          <w:lang w:eastAsia="zh-CN"/>
        </w:rPr>
        <w:t>信息公开工作</w:t>
      </w:r>
      <w:r>
        <w:rPr>
          <w:rFonts w:hint="eastAsia" w:ascii="Times New Roman" w:hAnsi="Times New Roman" w:eastAsia="仿宋_GB2312" w:cs="Times New Roman"/>
          <w:sz w:val="32"/>
          <w:szCs w:val="32"/>
        </w:rPr>
        <w:t>水平</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政务公开</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rPr>
        <w:t>质量，打造审计政务公开“名片”。另外，</w:t>
      </w:r>
      <w:r>
        <w:rPr>
          <w:rFonts w:hint="eastAsia" w:ascii="Times New Roman" w:hAnsi="Times New Roman" w:eastAsia="仿宋_GB2312" w:cs="Times New Roman"/>
          <w:sz w:val="32"/>
          <w:szCs w:val="32"/>
          <w:lang w:eastAsia="zh-CN"/>
        </w:rPr>
        <w:t>我局探索</w:t>
      </w:r>
      <w:r>
        <w:rPr>
          <w:rFonts w:hint="eastAsia" w:ascii="Times New Roman" w:hAnsi="Times New Roman" w:eastAsia="仿宋_GB2312" w:cs="Times New Roman"/>
          <w:sz w:val="32"/>
          <w:szCs w:val="32"/>
        </w:rPr>
        <w:t>将信息公开工作与审计项目开展相结合，明确信息公开事项、内容和形式，</w:t>
      </w:r>
      <w:r>
        <w:rPr>
          <w:rFonts w:hint="eastAsia" w:ascii="Times New Roman" w:hAnsi="Times New Roman" w:eastAsia="仿宋_GB2312" w:cs="Times New Roman"/>
          <w:sz w:val="32"/>
          <w:szCs w:val="32"/>
          <w:lang w:eastAsia="zh-CN"/>
        </w:rPr>
        <w:t>在加强</w:t>
      </w:r>
      <w:r>
        <w:rPr>
          <w:rFonts w:hint="eastAsia" w:ascii="Times New Roman" w:hAnsi="Times New Roman" w:eastAsia="仿宋_GB2312" w:cs="Times New Roman"/>
          <w:sz w:val="32"/>
          <w:szCs w:val="32"/>
        </w:rPr>
        <w:t>审计领域信息公开阵地建设</w:t>
      </w:r>
      <w:r>
        <w:rPr>
          <w:rFonts w:hint="eastAsia" w:ascii="Times New Roman" w:hAnsi="Times New Roman" w:eastAsia="仿宋_GB2312" w:cs="Times New Roman"/>
          <w:sz w:val="32"/>
          <w:szCs w:val="32"/>
          <w:lang w:eastAsia="zh-CN"/>
        </w:rPr>
        <w:t>的同时，及时规范依法公开审计项目信息</w:t>
      </w:r>
      <w:r>
        <w:rPr>
          <w:rFonts w:hint="eastAsia" w:ascii="Times New Roman" w:hAnsi="Times New Roman" w:eastAsia="仿宋_GB2312" w:cs="Times New Roman"/>
          <w:sz w:val="32"/>
          <w:szCs w:val="32"/>
        </w:rPr>
        <w:t>。</w:t>
      </w:r>
    </w:p>
    <w:p>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七、其他需要报告的事项</w:t>
      </w:r>
    </w:p>
    <w:p>
      <w:pPr>
        <w:topLinePunct/>
        <w:adjustRightInd w:val="0"/>
        <w:snapToGrid w:val="0"/>
        <w:spacing w:line="578"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pPr>
        <w:tabs>
          <w:tab w:val="left" w:pos="7513"/>
        </w:tabs>
        <w:rPr>
          <w:rFonts w:hint="eastAsia" w:ascii="宋体" w:hAnsi="宋体" w:cs="Times New Roman"/>
          <w:sz w:val="32"/>
          <w:szCs w:val="44"/>
        </w:rPr>
      </w:pPr>
    </w:p>
    <w:p>
      <w:pPr>
        <w:tabs>
          <w:tab w:val="left" w:pos="7371"/>
          <w:tab w:val="left" w:pos="7655"/>
        </w:tabs>
        <w:ind w:left="134" w:leftChars="64"/>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湛江市坡头区审计局</w:t>
      </w:r>
    </w:p>
    <w:p>
      <w:pPr>
        <w:ind w:left="134" w:leftChars="64"/>
        <w:jc w:val="center"/>
        <w:rPr>
          <w:rFonts w:hint="eastAsia" w:ascii="仿宋_GB2312" w:hAnsi="宋体" w:eastAsia="仿宋_GB2312" w:cs="Times New Roman"/>
          <w:sz w:val="32"/>
          <w:szCs w:val="44"/>
        </w:rPr>
      </w:pPr>
      <w:r>
        <w:rPr>
          <w:rFonts w:hint="eastAsia" w:ascii="仿宋_GB2312" w:hAnsi="宋体" w:eastAsia="仿宋_GB2312" w:cs="Times New Roman"/>
          <w:sz w:val="32"/>
          <w:szCs w:val="44"/>
        </w:rPr>
        <w:t xml:space="preserve">                     </w:t>
      </w:r>
      <w:r>
        <w:rPr>
          <w:rFonts w:ascii="仿宋_GB2312" w:hAnsi="宋体" w:eastAsia="仿宋_GB2312" w:cs="Times New Roman"/>
          <w:sz w:val="32"/>
          <w:szCs w:val="44"/>
        </w:rPr>
        <w:t xml:space="preserve">        </w:t>
      </w:r>
      <w:r>
        <w:rPr>
          <w:rFonts w:hint="eastAsia" w:ascii="仿宋_GB2312" w:hAnsi="宋体" w:eastAsia="仿宋_GB2312" w:cs="Times New Roman"/>
          <w:sz w:val="32"/>
          <w:szCs w:val="44"/>
        </w:rPr>
        <w:t xml:space="preserve"> 202</w:t>
      </w:r>
      <w:r>
        <w:rPr>
          <w:rFonts w:hint="eastAsia" w:ascii="仿宋_GB2312" w:hAnsi="宋体" w:eastAsia="仿宋_GB2312" w:cs="Times New Roman"/>
          <w:sz w:val="32"/>
          <w:szCs w:val="44"/>
          <w:lang w:val="en-US" w:eastAsia="zh-CN"/>
        </w:rPr>
        <w:t>3</w:t>
      </w:r>
      <w:r>
        <w:rPr>
          <w:rFonts w:hint="eastAsia" w:ascii="仿宋_GB2312" w:hAnsi="宋体" w:eastAsia="仿宋_GB2312" w:cs="Times New Roman"/>
          <w:sz w:val="32"/>
          <w:szCs w:val="44"/>
        </w:rPr>
        <w:t>年</w:t>
      </w:r>
      <w:r>
        <w:rPr>
          <w:rFonts w:ascii="仿宋_GB2312" w:hAnsi="宋体" w:eastAsia="仿宋_GB2312" w:cs="Times New Roman"/>
          <w:sz w:val="32"/>
          <w:szCs w:val="44"/>
        </w:rPr>
        <w:t>1</w:t>
      </w:r>
      <w:r>
        <w:rPr>
          <w:rFonts w:hint="eastAsia" w:ascii="仿宋_GB2312" w:hAnsi="宋体" w:eastAsia="仿宋_GB2312" w:cs="Times New Roman"/>
          <w:sz w:val="32"/>
          <w:szCs w:val="44"/>
        </w:rPr>
        <w:t>月</w:t>
      </w:r>
      <w:r>
        <w:rPr>
          <w:rFonts w:ascii="仿宋_GB2312" w:hAnsi="宋体" w:eastAsia="仿宋_GB2312" w:cs="Times New Roman"/>
          <w:sz w:val="32"/>
          <w:szCs w:val="44"/>
        </w:rPr>
        <w:t>13</w:t>
      </w:r>
      <w:r>
        <w:rPr>
          <w:rFonts w:hint="eastAsia" w:ascii="仿宋_GB2312" w:hAnsi="宋体" w:eastAsia="仿宋_GB2312" w:cs="Times New Roman"/>
          <w:sz w:val="32"/>
          <w:szCs w:val="4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8"/>
        <w:rFonts w:ascii="Times New Roman" w:hAnsi="Times New Roman" w:cs="Times New Roman"/>
        <w:sz w:val="28"/>
        <w:szCs w:val="28"/>
      </w:rPr>
      <w:t>- 2 -</w:t>
    </w:r>
    <w:r>
      <w:rPr>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4"/>
      <w:ind w:right="360" w:firstLine="360"/>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N2I3NTBkYTUwOTRiMjc5YTIzODdhMWQzZmY5MGUifQ=="/>
  </w:docVars>
  <w:rsids>
    <w:rsidRoot w:val="00882DAA"/>
    <w:rsid w:val="00013B96"/>
    <w:rsid w:val="0002673D"/>
    <w:rsid w:val="00043783"/>
    <w:rsid w:val="00066F41"/>
    <w:rsid w:val="00072D2E"/>
    <w:rsid w:val="000A3128"/>
    <w:rsid w:val="000B431B"/>
    <w:rsid w:val="000D427B"/>
    <w:rsid w:val="000E6A2E"/>
    <w:rsid w:val="000F2916"/>
    <w:rsid w:val="00107855"/>
    <w:rsid w:val="001562AC"/>
    <w:rsid w:val="00164963"/>
    <w:rsid w:val="00171A53"/>
    <w:rsid w:val="00173F44"/>
    <w:rsid w:val="001C05BC"/>
    <w:rsid w:val="001C0EFD"/>
    <w:rsid w:val="001C7104"/>
    <w:rsid w:val="001E5E84"/>
    <w:rsid w:val="001F44F6"/>
    <w:rsid w:val="002364DF"/>
    <w:rsid w:val="00275E87"/>
    <w:rsid w:val="002837E1"/>
    <w:rsid w:val="00284558"/>
    <w:rsid w:val="002A11C6"/>
    <w:rsid w:val="002D433D"/>
    <w:rsid w:val="002D6733"/>
    <w:rsid w:val="00303AED"/>
    <w:rsid w:val="00306D30"/>
    <w:rsid w:val="00352BE7"/>
    <w:rsid w:val="00383F67"/>
    <w:rsid w:val="00385515"/>
    <w:rsid w:val="00387E69"/>
    <w:rsid w:val="003A44E6"/>
    <w:rsid w:val="003C120D"/>
    <w:rsid w:val="003C152C"/>
    <w:rsid w:val="003C24C7"/>
    <w:rsid w:val="003D1176"/>
    <w:rsid w:val="003D4C6A"/>
    <w:rsid w:val="003F66A0"/>
    <w:rsid w:val="004064B8"/>
    <w:rsid w:val="00444F4B"/>
    <w:rsid w:val="004E6C87"/>
    <w:rsid w:val="00512F68"/>
    <w:rsid w:val="0054185C"/>
    <w:rsid w:val="00567A90"/>
    <w:rsid w:val="005C6D6D"/>
    <w:rsid w:val="005D7675"/>
    <w:rsid w:val="006014F7"/>
    <w:rsid w:val="0060333B"/>
    <w:rsid w:val="006057A1"/>
    <w:rsid w:val="00623563"/>
    <w:rsid w:val="00625660"/>
    <w:rsid w:val="00665B74"/>
    <w:rsid w:val="006A7022"/>
    <w:rsid w:val="006C114F"/>
    <w:rsid w:val="006D5B8A"/>
    <w:rsid w:val="007018E0"/>
    <w:rsid w:val="0071393E"/>
    <w:rsid w:val="00726CFD"/>
    <w:rsid w:val="00734DC4"/>
    <w:rsid w:val="00734F76"/>
    <w:rsid w:val="007360D9"/>
    <w:rsid w:val="00746A05"/>
    <w:rsid w:val="007677BE"/>
    <w:rsid w:val="00783505"/>
    <w:rsid w:val="007F2606"/>
    <w:rsid w:val="00803158"/>
    <w:rsid w:val="00815FCA"/>
    <w:rsid w:val="00822334"/>
    <w:rsid w:val="00882DAA"/>
    <w:rsid w:val="00887724"/>
    <w:rsid w:val="008B0598"/>
    <w:rsid w:val="008B655E"/>
    <w:rsid w:val="008C56C7"/>
    <w:rsid w:val="00907E8D"/>
    <w:rsid w:val="00912550"/>
    <w:rsid w:val="00947DD1"/>
    <w:rsid w:val="00980266"/>
    <w:rsid w:val="00990983"/>
    <w:rsid w:val="009A2080"/>
    <w:rsid w:val="009A487A"/>
    <w:rsid w:val="009B63FB"/>
    <w:rsid w:val="009C12C3"/>
    <w:rsid w:val="009D2265"/>
    <w:rsid w:val="00A15C58"/>
    <w:rsid w:val="00A17634"/>
    <w:rsid w:val="00A328D4"/>
    <w:rsid w:val="00A41232"/>
    <w:rsid w:val="00A54681"/>
    <w:rsid w:val="00A617D1"/>
    <w:rsid w:val="00A662AE"/>
    <w:rsid w:val="00AA00C4"/>
    <w:rsid w:val="00AA29B6"/>
    <w:rsid w:val="00AC2606"/>
    <w:rsid w:val="00AC725C"/>
    <w:rsid w:val="00AF0FA7"/>
    <w:rsid w:val="00AF36E0"/>
    <w:rsid w:val="00B22D61"/>
    <w:rsid w:val="00B23EDB"/>
    <w:rsid w:val="00B26C03"/>
    <w:rsid w:val="00B45426"/>
    <w:rsid w:val="00B52D71"/>
    <w:rsid w:val="00B57CA9"/>
    <w:rsid w:val="00BB3240"/>
    <w:rsid w:val="00BC3519"/>
    <w:rsid w:val="00BE0392"/>
    <w:rsid w:val="00BE0EB8"/>
    <w:rsid w:val="00C14DDE"/>
    <w:rsid w:val="00C41D47"/>
    <w:rsid w:val="00C54418"/>
    <w:rsid w:val="00C729E1"/>
    <w:rsid w:val="00D00261"/>
    <w:rsid w:val="00D032A2"/>
    <w:rsid w:val="00D058D5"/>
    <w:rsid w:val="00D07C35"/>
    <w:rsid w:val="00D50BD9"/>
    <w:rsid w:val="00D61D5F"/>
    <w:rsid w:val="00D84A44"/>
    <w:rsid w:val="00D962FA"/>
    <w:rsid w:val="00DC3100"/>
    <w:rsid w:val="00DD20D1"/>
    <w:rsid w:val="00DD2C07"/>
    <w:rsid w:val="00DF75CB"/>
    <w:rsid w:val="00E46F68"/>
    <w:rsid w:val="00E66BFF"/>
    <w:rsid w:val="00E9382E"/>
    <w:rsid w:val="00EB6FC9"/>
    <w:rsid w:val="00EE5F79"/>
    <w:rsid w:val="00EF5583"/>
    <w:rsid w:val="00F43CE6"/>
    <w:rsid w:val="00F86135"/>
    <w:rsid w:val="00FA19AD"/>
    <w:rsid w:val="00FC2A32"/>
    <w:rsid w:val="00FF62B8"/>
    <w:rsid w:val="19194D76"/>
    <w:rsid w:val="2C675222"/>
    <w:rsid w:val="5E8109C1"/>
    <w:rsid w:val="7DB5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rPr>
      <w:rFonts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link w:val="4"/>
    <w:qFormat/>
    <w:uiPriority w:val="99"/>
    <w:rPr>
      <w:sz w:val="18"/>
      <w:szCs w:val="18"/>
    </w:rPr>
  </w:style>
  <w:style w:type="character" w:customStyle="1" w:styleId="10">
    <w:name w:val="页脚 Char1"/>
    <w:basedOn w:val="7"/>
    <w:semiHidden/>
    <w:qFormat/>
    <w:uiPriority w:val="99"/>
    <w:rPr>
      <w:rFonts w:ascii="Calibri" w:hAnsi="Calibri" w:eastAsia="宋体" w:cs="黑体"/>
      <w:sz w:val="18"/>
      <w:szCs w:val="18"/>
    </w:rPr>
  </w:style>
  <w:style w:type="character" w:customStyle="1" w:styleId="11">
    <w:name w:val="批注框文本 字符"/>
    <w:basedOn w:val="7"/>
    <w:link w:val="3"/>
    <w:semiHidden/>
    <w:qFormat/>
    <w:uiPriority w:val="99"/>
    <w:rPr>
      <w:rFonts w:ascii="Calibri" w:hAnsi="Calibri" w:eastAsia="宋体" w:cs="黑体"/>
      <w:sz w:val="18"/>
      <w:szCs w:val="18"/>
    </w:rPr>
  </w:style>
  <w:style w:type="character" w:customStyle="1" w:styleId="12">
    <w:name w:val="页眉 字符"/>
    <w:basedOn w:val="7"/>
    <w:link w:val="5"/>
    <w:qFormat/>
    <w:uiPriority w:val="99"/>
    <w:rPr>
      <w:rFonts w:ascii="Calibri" w:hAnsi="Calibri" w:eastAsia="宋体" w:cs="黑体"/>
      <w:sz w:val="18"/>
      <w:szCs w:val="18"/>
    </w:rPr>
  </w:style>
  <w:style w:type="paragraph" w:styleId="13">
    <w:name w:val="List Paragraph"/>
    <w:basedOn w:val="1"/>
    <w:qFormat/>
    <w:uiPriority w:val="34"/>
    <w:pPr>
      <w:ind w:firstLine="420" w:firstLineChars="200"/>
    </w:pPr>
  </w:style>
  <w:style w:type="character" w:customStyle="1" w:styleId="14">
    <w:name w:val="正文文本 字符"/>
    <w:basedOn w:val="7"/>
    <w:link w:val="2"/>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D1B2-F1CD-4CC9-B00E-CEC6FFA19364}">
  <ds:schemaRefs/>
</ds:datastoreItem>
</file>

<file path=docProps/app.xml><?xml version="1.0" encoding="utf-8"?>
<Properties xmlns="http://schemas.openxmlformats.org/officeDocument/2006/extended-properties" xmlns:vt="http://schemas.openxmlformats.org/officeDocument/2006/docPropsVTypes">
  <Template>Normal</Template>
  <Pages>5</Pages>
  <Words>2424</Words>
  <Characters>2479</Characters>
  <Lines>22</Lines>
  <Paragraphs>6</Paragraphs>
  <TotalTime>5</TotalTime>
  <ScaleCrop>false</ScaleCrop>
  <LinksUpToDate>false</LinksUpToDate>
  <CharactersWithSpaces>2739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2019-07-05T02:15:00Z</dcterms:created>
  <dc:creator>sjj</dc:creator>
  <cp:lastModifiedBy>Administrator</cp:lastModifiedBy>
  <cp:lastPrinted>2021-08-10T03:01:00Z</cp:lastPrinted>
  <dcterms:modified xsi:type="dcterms:W3CDTF">2023-01-16T02:15:36Z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4D2877E046664F03A7FECBF6F8A438B0</vt:lpwstr>
  </property>
</Properties>
</file>