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880" w:leftChars="0" w:firstLine="0" w:firstLineChars="0"/>
        <w:jc w:val="center"/>
        <w:rPr>
          <w:b/>
          <w:bCs/>
          <w:color w:val="auto"/>
          <w:szCs w:val="32"/>
          <w:highlight w:val="none"/>
        </w:rPr>
      </w:pPr>
    </w:p>
    <w:p>
      <w:pPr>
        <w:pStyle w:val="2"/>
        <w:rPr>
          <w:b/>
          <w:bCs/>
          <w:color w:val="auto"/>
          <w:szCs w:val="32"/>
          <w:highlight w:val="none"/>
        </w:rPr>
      </w:pPr>
    </w:p>
    <w:p>
      <w:pPr>
        <w:rPr>
          <w:b/>
          <w:bCs/>
          <w:color w:val="auto"/>
          <w:szCs w:val="32"/>
          <w:highlight w:val="none"/>
        </w:rPr>
      </w:pPr>
    </w:p>
    <w:p>
      <w:pPr>
        <w:pStyle w:val="2"/>
        <w:ind w:left="0" w:leftChars="0" w:firstLine="0" w:firstLineChars="0"/>
      </w:pPr>
    </w:p>
    <w:p>
      <w:pPr>
        <w:pStyle w:val="84"/>
        <w:keepNext w:val="0"/>
        <w:keepLines w:val="0"/>
        <w:pageBreakBefore w:val="0"/>
        <w:widowControl w:val="0"/>
        <w:kinsoku/>
        <w:wordWrap/>
        <w:overflowPunct/>
        <w:topLinePunct w:val="0"/>
        <w:autoSpaceDE/>
        <w:autoSpaceDN/>
        <w:bidi w:val="0"/>
        <w:adjustRightInd/>
        <w:snapToGrid/>
        <w:spacing w:before="0" w:beforeLines="0" w:after="0" w:afterLines="0" w:line="800" w:lineRule="exact"/>
        <w:ind w:left="0" w:leftChars="0" w:right="0" w:rightChars="0" w:firstLine="0" w:firstLineChars="0"/>
        <w:jc w:val="center"/>
        <w:textAlignment w:val="auto"/>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lang w:val="en-US" w:eastAsia="zh-CN"/>
        </w:rPr>
        <w:t>坡头</w:t>
      </w:r>
      <w:r>
        <w:rPr>
          <w:rFonts w:hint="eastAsia" w:ascii="华文中宋" w:hAnsi="华文中宋" w:eastAsia="华文中宋" w:cs="华文中宋"/>
          <w:b/>
          <w:bCs/>
          <w:sz w:val="48"/>
          <w:szCs w:val="48"/>
        </w:rPr>
        <w:t>区国民经济和社会发展第十四个</w:t>
      </w:r>
    </w:p>
    <w:p>
      <w:pPr>
        <w:pStyle w:val="84"/>
        <w:keepNext w:val="0"/>
        <w:keepLines w:val="0"/>
        <w:pageBreakBefore w:val="0"/>
        <w:widowControl w:val="0"/>
        <w:kinsoku/>
        <w:wordWrap/>
        <w:overflowPunct/>
        <w:topLinePunct w:val="0"/>
        <w:autoSpaceDE/>
        <w:autoSpaceDN/>
        <w:bidi w:val="0"/>
        <w:adjustRightInd/>
        <w:snapToGrid/>
        <w:spacing w:before="0" w:beforeLines="0" w:after="0" w:afterLines="0" w:line="800" w:lineRule="exact"/>
        <w:ind w:left="0" w:leftChars="0" w:right="0" w:rightChars="0" w:firstLine="0" w:firstLineChars="0"/>
        <w:jc w:val="center"/>
        <w:textAlignment w:val="auto"/>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五年规划和二〇三五年</w:t>
      </w:r>
    </w:p>
    <w:p>
      <w:pPr>
        <w:pStyle w:val="84"/>
        <w:keepNext w:val="0"/>
        <w:keepLines w:val="0"/>
        <w:pageBreakBefore w:val="0"/>
        <w:widowControl w:val="0"/>
        <w:kinsoku/>
        <w:wordWrap/>
        <w:overflowPunct/>
        <w:topLinePunct w:val="0"/>
        <w:autoSpaceDE/>
        <w:autoSpaceDN/>
        <w:bidi w:val="0"/>
        <w:adjustRightInd/>
        <w:snapToGrid/>
        <w:spacing w:before="0" w:beforeLines="0" w:after="0" w:afterLines="0" w:line="800" w:lineRule="exact"/>
        <w:ind w:left="0" w:leftChars="0" w:right="0" w:rightChars="0" w:firstLine="0" w:firstLineChars="0"/>
        <w:jc w:val="center"/>
        <w:textAlignment w:val="auto"/>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远景目标纲要</w:t>
      </w:r>
    </w:p>
    <w:p>
      <w:pPr>
        <w:ind w:firstLine="0" w:firstLineChars="0"/>
        <w:jc w:val="center"/>
        <w:rPr>
          <w:color w:val="auto"/>
          <w:highlight w:val="none"/>
        </w:rPr>
      </w:pPr>
    </w:p>
    <w:p>
      <w:pPr>
        <w:ind w:firstLine="0" w:firstLineChars="0"/>
        <w:jc w:val="center"/>
        <w:rPr>
          <w:color w:val="auto"/>
          <w:highlight w:val="none"/>
        </w:rPr>
      </w:pPr>
    </w:p>
    <w:p>
      <w:pPr>
        <w:ind w:firstLine="640"/>
        <w:rPr>
          <w:color w:val="auto"/>
          <w:highlight w:val="none"/>
        </w:rPr>
      </w:pPr>
      <w:r>
        <w:rPr>
          <w:color w:val="auto"/>
          <w:highlight w:val="none"/>
        </w:rPr>
        <w:br w:type="page"/>
      </w:r>
    </w:p>
    <w:p>
      <w:pPr>
        <w:ind w:left="0" w:leftChars="0" w:firstLine="0" w:firstLineChars="0"/>
        <w:jc w:val="center"/>
        <w:rPr>
          <w:rFonts w:hint="eastAsia" w:ascii="黑体" w:hAnsi="黑体" w:eastAsia="黑体" w:cs="黑体"/>
          <w:b/>
          <w:bCs/>
          <w:color w:val="auto"/>
          <w:sz w:val="52"/>
          <w:szCs w:val="32"/>
          <w:highlight w:val="none"/>
        </w:rPr>
      </w:pPr>
      <w:r>
        <w:rPr>
          <w:color w:val="auto"/>
          <w:highlight w:val="none"/>
        </w:rPr>
        <w:br w:type="page"/>
      </w:r>
      <w:r>
        <w:rPr>
          <w:rFonts w:hint="eastAsia" w:ascii="黑体" w:hAnsi="黑体" w:eastAsia="黑体" w:cs="黑体"/>
          <w:b/>
          <w:bCs/>
          <w:color w:val="auto"/>
          <w:sz w:val="36"/>
          <w:szCs w:val="32"/>
          <w:highlight w:val="none"/>
        </w:rPr>
        <w:t>目  录</w:t>
      </w:r>
    </w:p>
    <w:p>
      <w:pPr>
        <w:pStyle w:val="10"/>
        <w:tabs>
          <w:tab w:val="right" w:leader="dot" w:pos="8306"/>
        </w:tabs>
        <w:rPr>
          <w:color w:val="auto"/>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TOC \o "1-2" \h \u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_Toc26977 </w:instrText>
      </w:r>
      <w:r>
        <w:rPr>
          <w:rFonts w:hint="default" w:ascii="Times New Roman" w:hAnsi="Times New Roman" w:eastAsia="宋体" w:cs="Times New Roman"/>
          <w:color w:val="auto"/>
          <w:szCs w:val="28"/>
          <w:highlight w:val="none"/>
        </w:rPr>
        <w:fldChar w:fldCharType="separate"/>
      </w:r>
      <w:r>
        <w:rPr>
          <w:rFonts w:hint="eastAsia" w:ascii="宋体" w:hAnsi="宋体" w:eastAsia="宋体" w:cs="宋体"/>
          <w:bCs/>
          <w:color w:val="auto"/>
          <w:highlight w:val="none"/>
        </w:rPr>
        <w:t>前言</w:t>
      </w:r>
      <w:r>
        <w:rPr>
          <w:color w:val="auto"/>
          <w:highlight w:val="none"/>
        </w:rPr>
        <w:tab/>
      </w:r>
      <w:r>
        <w:rPr>
          <w:color w:val="auto"/>
          <w:highlight w:val="none"/>
        </w:rPr>
        <w:fldChar w:fldCharType="begin"/>
      </w:r>
      <w:r>
        <w:rPr>
          <w:color w:val="auto"/>
          <w:highlight w:val="none"/>
        </w:rPr>
        <w:instrText xml:space="preserve"> PAGEREF _Toc26977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_Toc3142 </w:instrText>
      </w:r>
      <w:r>
        <w:rPr>
          <w:rFonts w:hint="default" w:ascii="Times New Roman" w:hAnsi="Times New Roman" w:eastAsia="宋体" w:cs="Times New Roman"/>
          <w:color w:val="auto"/>
          <w:szCs w:val="28"/>
          <w:highlight w:val="none"/>
        </w:rPr>
        <w:fldChar w:fldCharType="separate"/>
      </w:r>
      <w:r>
        <w:rPr>
          <w:b/>
          <w:bCs/>
          <w:color w:val="auto"/>
          <w:highlight w:val="none"/>
        </w:rPr>
        <w:t xml:space="preserve">第一章  </w:t>
      </w:r>
      <w:r>
        <w:rPr>
          <w:rFonts w:hint="eastAsia"/>
          <w:b/>
          <w:bCs/>
          <w:color w:val="auto"/>
          <w:highlight w:val="none"/>
        </w:rPr>
        <w:t>奋发开拓有为 经济社会</w:t>
      </w:r>
      <w:r>
        <w:rPr>
          <w:b/>
          <w:bCs/>
          <w:color w:val="auto"/>
          <w:highlight w:val="none"/>
        </w:rPr>
        <w:t>发展</w:t>
      </w:r>
      <w:r>
        <w:rPr>
          <w:rFonts w:hint="eastAsia"/>
          <w:b/>
          <w:bCs/>
          <w:color w:val="auto"/>
          <w:highlight w:val="none"/>
        </w:rPr>
        <w:t>迈上新台阶</w:t>
      </w:r>
      <w:r>
        <w:rPr>
          <w:color w:val="auto"/>
          <w:highlight w:val="none"/>
        </w:rPr>
        <w:tab/>
      </w:r>
      <w:r>
        <w:rPr>
          <w:color w:val="auto"/>
          <w:highlight w:val="none"/>
        </w:rPr>
        <w:fldChar w:fldCharType="begin"/>
      </w:r>
      <w:r>
        <w:rPr>
          <w:color w:val="auto"/>
          <w:highlight w:val="none"/>
        </w:rPr>
        <w:instrText xml:space="preserve"> PAGEREF _Toc3142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_Toc6549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发展成就</w:t>
      </w:r>
      <w:r>
        <w:rPr>
          <w:color w:val="auto"/>
          <w:highlight w:val="none"/>
        </w:rPr>
        <w:tab/>
      </w:r>
      <w:r>
        <w:rPr>
          <w:color w:val="auto"/>
          <w:highlight w:val="none"/>
        </w:rPr>
        <w:fldChar w:fldCharType="begin"/>
      </w:r>
      <w:r>
        <w:rPr>
          <w:color w:val="auto"/>
          <w:highlight w:val="none"/>
        </w:rPr>
        <w:instrText xml:space="preserve"> PAGEREF _Toc6549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_Toc5983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面临环境</w:t>
      </w:r>
      <w:r>
        <w:rPr>
          <w:color w:val="auto"/>
          <w:highlight w:val="none"/>
        </w:rPr>
        <w:tab/>
      </w:r>
      <w:r>
        <w:rPr>
          <w:color w:val="auto"/>
          <w:highlight w:val="none"/>
        </w:rPr>
        <w:fldChar w:fldCharType="begin"/>
      </w:r>
      <w:r>
        <w:rPr>
          <w:color w:val="auto"/>
          <w:highlight w:val="none"/>
        </w:rPr>
        <w:instrText xml:space="preserve"> PAGEREF _Toc5983 \h </w:instrText>
      </w:r>
      <w:r>
        <w:rPr>
          <w:color w:val="auto"/>
          <w:highlight w:val="none"/>
        </w:rPr>
        <w:fldChar w:fldCharType="separate"/>
      </w:r>
      <w:r>
        <w:rPr>
          <w:color w:val="auto"/>
          <w:highlight w:val="none"/>
        </w:rPr>
        <w:t>14</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_Toc21969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机遇挑战</w:t>
      </w:r>
      <w:r>
        <w:rPr>
          <w:color w:val="auto"/>
          <w:highlight w:val="none"/>
        </w:rPr>
        <w:tab/>
      </w:r>
      <w:r>
        <w:rPr>
          <w:color w:val="auto"/>
          <w:highlight w:val="none"/>
        </w:rPr>
        <w:fldChar w:fldCharType="begin"/>
      </w:r>
      <w:r>
        <w:rPr>
          <w:color w:val="auto"/>
          <w:highlight w:val="none"/>
        </w:rPr>
        <w:instrText xml:space="preserve"> PAGEREF _Toc21969 \h </w:instrText>
      </w:r>
      <w:r>
        <w:rPr>
          <w:color w:val="auto"/>
          <w:highlight w:val="none"/>
        </w:rPr>
        <w:fldChar w:fldCharType="separate"/>
      </w:r>
      <w:r>
        <w:rPr>
          <w:color w:val="auto"/>
          <w:highlight w:val="none"/>
        </w:rPr>
        <w:t>16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_Toc14395 </w:instrText>
      </w:r>
      <w:r>
        <w:rPr>
          <w:rFonts w:hint="default" w:ascii="Times New Roman" w:hAnsi="Times New Roman" w:eastAsia="宋体" w:cs="Times New Roman"/>
          <w:color w:val="auto"/>
          <w:szCs w:val="28"/>
          <w:highlight w:val="none"/>
        </w:rPr>
        <w:fldChar w:fldCharType="separate"/>
      </w:r>
      <w:r>
        <w:rPr>
          <w:color w:val="auto"/>
          <w:highlight w:val="none"/>
        </w:rPr>
        <w:t xml:space="preserve">第二章  </w:t>
      </w:r>
      <w:r>
        <w:rPr>
          <w:rFonts w:hint="eastAsia"/>
          <w:color w:val="auto"/>
          <w:highlight w:val="none"/>
        </w:rPr>
        <w:t>前瞻全局谋划 谱写高质量发展新篇章</w:t>
      </w:r>
      <w:r>
        <w:rPr>
          <w:color w:val="auto"/>
          <w:highlight w:val="none"/>
        </w:rPr>
        <w:tab/>
      </w:r>
      <w:r>
        <w:rPr>
          <w:color w:val="auto"/>
          <w:highlight w:val="none"/>
        </w:rPr>
        <w:fldChar w:fldCharType="begin"/>
      </w:r>
      <w:r>
        <w:rPr>
          <w:color w:val="auto"/>
          <w:highlight w:val="none"/>
        </w:rPr>
        <w:instrText xml:space="preserve"> PAGEREF _Toc14395 \h </w:instrText>
      </w:r>
      <w:r>
        <w:rPr>
          <w:color w:val="auto"/>
          <w:highlight w:val="none"/>
        </w:rPr>
        <w:fldChar w:fldCharType="separate"/>
      </w:r>
      <w:r>
        <w:rPr>
          <w:color w:val="auto"/>
          <w:highlight w:val="none"/>
        </w:rPr>
        <w:t>18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_Toc10281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指导思想</w:t>
      </w:r>
      <w:r>
        <w:rPr>
          <w:color w:val="auto"/>
          <w:highlight w:val="none"/>
        </w:rPr>
        <w:tab/>
      </w:r>
      <w:r>
        <w:rPr>
          <w:color w:val="auto"/>
          <w:highlight w:val="none"/>
        </w:rPr>
        <w:fldChar w:fldCharType="begin"/>
      </w:r>
      <w:r>
        <w:rPr>
          <w:color w:val="auto"/>
          <w:highlight w:val="none"/>
        </w:rPr>
        <w:instrText xml:space="preserve"> PAGEREF _Toc10281 \h </w:instrText>
      </w:r>
      <w:r>
        <w:rPr>
          <w:color w:val="auto"/>
          <w:highlight w:val="none"/>
        </w:rPr>
        <w:fldChar w:fldCharType="separate"/>
      </w:r>
      <w:r>
        <w:rPr>
          <w:color w:val="auto"/>
          <w:highlight w:val="none"/>
        </w:rPr>
        <w:t>18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_Toc396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基本原则</w:t>
      </w:r>
      <w:r>
        <w:rPr>
          <w:color w:val="auto"/>
          <w:highlight w:val="none"/>
        </w:rPr>
        <w:tab/>
      </w:r>
      <w:r>
        <w:rPr>
          <w:color w:val="auto"/>
          <w:highlight w:val="none"/>
        </w:rPr>
        <w:fldChar w:fldCharType="begin"/>
      </w:r>
      <w:r>
        <w:rPr>
          <w:color w:val="auto"/>
          <w:highlight w:val="none"/>
        </w:rPr>
        <w:instrText xml:space="preserve"> PAGEREF _Toc396 \h </w:instrText>
      </w:r>
      <w:r>
        <w:rPr>
          <w:color w:val="auto"/>
          <w:highlight w:val="none"/>
        </w:rPr>
        <w:fldChar w:fldCharType="separate"/>
      </w:r>
      <w:r>
        <w:rPr>
          <w:color w:val="auto"/>
          <w:highlight w:val="none"/>
        </w:rPr>
        <w:t>19</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_Toc28109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lang w:val="en-US" w:eastAsia="zh-CN"/>
        </w:rPr>
        <w:t>第三节 发展定位</w:t>
      </w:r>
      <w:r>
        <w:rPr>
          <w:color w:val="auto"/>
          <w:highlight w:val="none"/>
        </w:rPr>
        <w:tab/>
      </w:r>
      <w:r>
        <w:rPr>
          <w:color w:val="auto"/>
          <w:highlight w:val="none"/>
        </w:rPr>
        <w:fldChar w:fldCharType="begin"/>
      </w:r>
      <w:r>
        <w:rPr>
          <w:color w:val="auto"/>
          <w:highlight w:val="none"/>
        </w:rPr>
        <w:instrText xml:space="preserve"> PAGEREF _Toc28109 \h </w:instrText>
      </w:r>
      <w:r>
        <w:rPr>
          <w:color w:val="auto"/>
          <w:highlight w:val="none"/>
        </w:rPr>
        <w:fldChar w:fldCharType="separate"/>
      </w:r>
      <w:r>
        <w:rPr>
          <w:color w:val="auto"/>
          <w:highlight w:val="none"/>
        </w:rPr>
        <w:t>20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_Toc9210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lang w:val="en-US" w:eastAsia="zh-CN"/>
        </w:rPr>
        <w:t xml:space="preserve">第四节 </w:t>
      </w:r>
      <w:r>
        <w:rPr>
          <w:rFonts w:hint="default" w:ascii="宋体" w:hAnsi="宋体"/>
          <w:color w:val="auto"/>
          <w:highlight w:val="none"/>
        </w:rPr>
        <w:t>发展目标</w:t>
      </w:r>
      <w:r>
        <w:rPr>
          <w:color w:val="auto"/>
          <w:highlight w:val="none"/>
        </w:rPr>
        <w:tab/>
      </w:r>
      <w:r>
        <w:rPr>
          <w:color w:val="auto"/>
          <w:highlight w:val="none"/>
        </w:rPr>
        <w:fldChar w:fldCharType="begin"/>
      </w:r>
      <w:r>
        <w:rPr>
          <w:color w:val="auto"/>
          <w:highlight w:val="none"/>
        </w:rPr>
        <w:instrText xml:space="preserve"> PAGEREF _Toc9210 \h </w:instrText>
      </w:r>
      <w:r>
        <w:rPr>
          <w:color w:val="auto"/>
          <w:highlight w:val="none"/>
        </w:rPr>
        <w:fldChar w:fldCharType="separate"/>
      </w:r>
      <w:r>
        <w:rPr>
          <w:color w:val="auto"/>
          <w:highlight w:val="none"/>
        </w:rPr>
        <w:t>22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_Toc9240 </w:instrText>
      </w:r>
      <w:r>
        <w:rPr>
          <w:rFonts w:hint="default" w:ascii="Times New Roman" w:hAnsi="Times New Roman" w:eastAsia="宋体" w:cs="Times New Roman"/>
          <w:color w:val="auto"/>
          <w:szCs w:val="28"/>
          <w:highlight w:val="none"/>
        </w:rPr>
        <w:fldChar w:fldCharType="separate"/>
      </w:r>
      <w:r>
        <w:rPr>
          <w:color w:val="auto"/>
          <w:highlight w:val="none"/>
        </w:rPr>
        <w:t xml:space="preserve">第三章  </w:t>
      </w:r>
      <w:r>
        <w:rPr>
          <w:rFonts w:hint="eastAsia"/>
          <w:color w:val="auto"/>
          <w:highlight w:val="none"/>
        </w:rPr>
        <w:t>坚持创新驱动 激发科技引领新动能</w:t>
      </w:r>
      <w:r>
        <w:rPr>
          <w:color w:val="auto"/>
          <w:highlight w:val="none"/>
        </w:rPr>
        <w:tab/>
      </w:r>
      <w:r>
        <w:rPr>
          <w:color w:val="auto"/>
          <w:highlight w:val="none"/>
        </w:rPr>
        <w:fldChar w:fldCharType="begin"/>
      </w:r>
      <w:r>
        <w:rPr>
          <w:color w:val="auto"/>
          <w:highlight w:val="none"/>
        </w:rPr>
        <w:instrText xml:space="preserve"> PAGEREF _Toc9240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_Toc16765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 xml:space="preserve">第一节 </w:t>
      </w:r>
      <w:r>
        <w:rPr>
          <w:rFonts w:hint="eastAsia" w:ascii="宋体" w:hAnsi="宋体"/>
          <w:color w:val="auto"/>
          <w:highlight w:val="none"/>
          <w:lang w:val="en-US" w:eastAsia="zh-CN"/>
        </w:rPr>
        <w:t>高标准建设国家级高新区</w:t>
      </w:r>
      <w:r>
        <w:rPr>
          <w:color w:val="auto"/>
          <w:highlight w:val="none"/>
        </w:rPr>
        <w:tab/>
      </w:r>
      <w:r>
        <w:rPr>
          <w:color w:val="auto"/>
          <w:highlight w:val="none"/>
        </w:rPr>
        <w:fldChar w:fldCharType="begin"/>
      </w:r>
      <w:r>
        <w:rPr>
          <w:color w:val="auto"/>
          <w:highlight w:val="none"/>
        </w:rPr>
        <w:instrText xml:space="preserve"> PAGEREF _Toc16765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_Toc16129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优化创新生态环境</w:t>
      </w:r>
      <w:r>
        <w:rPr>
          <w:color w:val="auto"/>
          <w:highlight w:val="none"/>
        </w:rPr>
        <w:tab/>
      </w:r>
      <w:r>
        <w:rPr>
          <w:color w:val="auto"/>
          <w:highlight w:val="none"/>
        </w:rPr>
        <w:fldChar w:fldCharType="begin"/>
      </w:r>
      <w:r>
        <w:rPr>
          <w:color w:val="auto"/>
          <w:highlight w:val="none"/>
        </w:rPr>
        <w:instrText xml:space="preserve"> PAGEREF _Toc16129 \h </w:instrText>
      </w:r>
      <w:r>
        <w:rPr>
          <w:color w:val="auto"/>
          <w:highlight w:val="none"/>
        </w:rPr>
        <w:fldChar w:fldCharType="separate"/>
      </w:r>
      <w:r>
        <w:rPr>
          <w:color w:val="auto"/>
          <w:highlight w:val="none"/>
        </w:rPr>
        <w:t>31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_Toc30859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培育壮大创新主体</w:t>
      </w:r>
      <w:r>
        <w:rPr>
          <w:color w:val="auto"/>
          <w:highlight w:val="none"/>
        </w:rPr>
        <w:tab/>
      </w:r>
      <w:r>
        <w:rPr>
          <w:color w:val="auto"/>
          <w:highlight w:val="none"/>
        </w:rPr>
        <w:fldChar w:fldCharType="begin"/>
      </w:r>
      <w:r>
        <w:rPr>
          <w:color w:val="auto"/>
          <w:highlight w:val="none"/>
        </w:rPr>
        <w:instrText xml:space="preserve"> PAGEREF _Toc30859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_Toc23578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第四节 引进培育创新人才</w:t>
      </w:r>
      <w:r>
        <w:rPr>
          <w:color w:val="auto"/>
          <w:highlight w:val="none"/>
        </w:rPr>
        <w:tab/>
      </w:r>
      <w:r>
        <w:rPr>
          <w:color w:val="auto"/>
          <w:highlight w:val="none"/>
        </w:rPr>
        <w:fldChar w:fldCharType="begin"/>
      </w:r>
      <w:r>
        <w:rPr>
          <w:color w:val="auto"/>
          <w:highlight w:val="none"/>
        </w:rPr>
        <w:instrText xml:space="preserve"> PAGEREF _Toc23578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_Toc19866 </w:instrText>
      </w:r>
      <w:r>
        <w:rPr>
          <w:rFonts w:hint="default" w:ascii="Times New Roman" w:hAnsi="Times New Roman" w:eastAsia="宋体" w:cs="Times New Roman"/>
          <w:color w:val="auto"/>
          <w:szCs w:val="28"/>
          <w:highlight w:val="none"/>
        </w:rPr>
        <w:fldChar w:fldCharType="separate"/>
      </w:r>
      <w:r>
        <w:rPr>
          <w:color w:val="auto"/>
          <w:highlight w:val="none"/>
        </w:rPr>
        <w:t xml:space="preserve">第四章  </w:t>
      </w:r>
      <w:r>
        <w:rPr>
          <w:rFonts w:hint="eastAsia"/>
          <w:color w:val="auto"/>
          <w:highlight w:val="none"/>
        </w:rPr>
        <w:t>转型优化升级 构建现代产业新体系</w:t>
      </w:r>
      <w:r>
        <w:rPr>
          <w:color w:val="auto"/>
          <w:highlight w:val="none"/>
        </w:rPr>
        <w:tab/>
      </w:r>
      <w:r>
        <w:rPr>
          <w:color w:val="auto"/>
          <w:highlight w:val="none"/>
        </w:rPr>
        <w:fldChar w:fldCharType="begin"/>
      </w:r>
      <w:r>
        <w:rPr>
          <w:color w:val="auto"/>
          <w:highlight w:val="none"/>
        </w:rPr>
        <w:instrText xml:space="preserve"> PAGEREF _Toc19866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_Toc32386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着力发展战略性新兴产业</w:t>
      </w:r>
      <w:r>
        <w:rPr>
          <w:color w:val="auto"/>
          <w:highlight w:val="none"/>
        </w:rPr>
        <w:tab/>
      </w:r>
      <w:r>
        <w:rPr>
          <w:color w:val="auto"/>
          <w:highlight w:val="none"/>
        </w:rPr>
        <w:fldChar w:fldCharType="begin"/>
      </w:r>
      <w:r>
        <w:rPr>
          <w:color w:val="auto"/>
          <w:highlight w:val="none"/>
        </w:rPr>
        <w:instrText xml:space="preserve"> PAGEREF _Toc32386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_Toc3526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促进传统优势产业更新升级</w:t>
      </w:r>
      <w:r>
        <w:rPr>
          <w:color w:val="auto"/>
          <w:highlight w:val="none"/>
        </w:rPr>
        <w:tab/>
      </w:r>
      <w:r>
        <w:rPr>
          <w:color w:val="auto"/>
          <w:highlight w:val="none"/>
        </w:rPr>
        <w:fldChar w:fldCharType="begin"/>
      </w:r>
      <w:r>
        <w:rPr>
          <w:color w:val="auto"/>
          <w:highlight w:val="none"/>
        </w:rPr>
        <w:instrText xml:space="preserve"> PAGEREF _Toc3526 \h </w:instrText>
      </w:r>
      <w:r>
        <w:rPr>
          <w:color w:val="auto"/>
          <w:highlight w:val="none"/>
        </w:rPr>
        <w:fldChar w:fldCharType="separate"/>
      </w:r>
      <w:r>
        <w:rPr>
          <w:color w:val="auto"/>
          <w:highlight w:val="none"/>
        </w:rPr>
        <w:t>41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_Toc9078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加快发展现代服务业</w:t>
      </w:r>
      <w:r>
        <w:rPr>
          <w:color w:val="auto"/>
          <w:highlight w:val="none"/>
        </w:rPr>
        <w:tab/>
      </w:r>
      <w:r>
        <w:rPr>
          <w:color w:val="auto"/>
          <w:highlight w:val="none"/>
        </w:rPr>
        <w:fldChar w:fldCharType="begin"/>
      </w:r>
      <w:r>
        <w:rPr>
          <w:color w:val="auto"/>
          <w:highlight w:val="none"/>
        </w:rPr>
        <w:instrText xml:space="preserve"> PAGEREF _Toc9078 \h </w:instrText>
      </w:r>
      <w:r>
        <w:rPr>
          <w:color w:val="auto"/>
          <w:highlight w:val="none"/>
        </w:rPr>
        <w:fldChar w:fldCharType="separate"/>
      </w:r>
      <w:r>
        <w:rPr>
          <w:color w:val="auto"/>
          <w:highlight w:val="none"/>
        </w:rPr>
        <w:t>44</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_Toc23455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lang w:val="en-US" w:eastAsia="zh-CN"/>
        </w:rPr>
        <w:t xml:space="preserve">第四节 </w:t>
      </w:r>
      <w:r>
        <w:rPr>
          <w:rFonts w:hint="default" w:ascii="宋体" w:hAnsi="宋体"/>
          <w:color w:val="auto"/>
          <w:highlight w:val="none"/>
        </w:rPr>
        <w:t>建设国家级滨海旅游示范区</w:t>
      </w:r>
      <w:r>
        <w:rPr>
          <w:color w:val="auto"/>
          <w:highlight w:val="none"/>
        </w:rPr>
        <w:tab/>
      </w:r>
      <w:r>
        <w:rPr>
          <w:color w:val="auto"/>
          <w:highlight w:val="none"/>
        </w:rPr>
        <w:fldChar w:fldCharType="begin"/>
      </w:r>
      <w:r>
        <w:rPr>
          <w:color w:val="auto"/>
          <w:highlight w:val="none"/>
        </w:rPr>
        <w:instrText xml:space="preserve"> PAGEREF _Toc23455 \h </w:instrText>
      </w:r>
      <w:r>
        <w:rPr>
          <w:color w:val="auto"/>
          <w:highlight w:val="none"/>
        </w:rPr>
        <w:fldChar w:fldCharType="separate"/>
      </w:r>
      <w:r>
        <w:rPr>
          <w:color w:val="auto"/>
          <w:highlight w:val="none"/>
        </w:rPr>
        <w:t>50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_Toc15465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第五节 打造现代农业产业体系</w:t>
      </w:r>
      <w:r>
        <w:rPr>
          <w:color w:val="auto"/>
          <w:highlight w:val="none"/>
        </w:rPr>
        <w:tab/>
      </w:r>
      <w:r>
        <w:rPr>
          <w:color w:val="auto"/>
          <w:highlight w:val="none"/>
        </w:rPr>
        <w:fldChar w:fldCharType="begin"/>
      </w:r>
      <w:r>
        <w:rPr>
          <w:color w:val="auto"/>
          <w:highlight w:val="none"/>
        </w:rPr>
        <w:instrText xml:space="preserve"> PAGEREF _Toc15465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_Toc24424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第六节 优化产业空间布局和载体建设</w:t>
      </w:r>
      <w:r>
        <w:rPr>
          <w:color w:val="auto"/>
          <w:highlight w:val="none"/>
        </w:rPr>
        <w:tab/>
      </w:r>
      <w:r>
        <w:rPr>
          <w:color w:val="auto"/>
          <w:highlight w:val="none"/>
        </w:rPr>
        <w:fldChar w:fldCharType="begin"/>
      </w:r>
      <w:r>
        <w:rPr>
          <w:color w:val="auto"/>
          <w:highlight w:val="none"/>
        </w:rPr>
        <w:instrText xml:space="preserve"> PAGEREF _Toc24424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_Toc17093 </w:instrText>
      </w:r>
      <w:r>
        <w:rPr>
          <w:rFonts w:hint="default" w:ascii="Times New Roman" w:hAnsi="Times New Roman" w:eastAsia="宋体" w:cs="Times New Roman"/>
          <w:color w:val="auto"/>
          <w:szCs w:val="28"/>
          <w:highlight w:val="none"/>
        </w:rPr>
        <w:fldChar w:fldCharType="separate"/>
      </w:r>
      <w:r>
        <w:rPr>
          <w:color w:val="auto"/>
          <w:highlight w:val="none"/>
        </w:rPr>
        <w:t>第</w:t>
      </w:r>
      <w:r>
        <w:rPr>
          <w:rFonts w:hint="eastAsia"/>
          <w:color w:val="auto"/>
          <w:highlight w:val="none"/>
        </w:rPr>
        <w:t>五</w:t>
      </w:r>
      <w:r>
        <w:rPr>
          <w:color w:val="auto"/>
          <w:highlight w:val="none"/>
        </w:rPr>
        <w:t xml:space="preserve">章  </w:t>
      </w:r>
      <w:r>
        <w:rPr>
          <w:rFonts w:hint="eastAsia"/>
          <w:color w:val="auto"/>
          <w:highlight w:val="none"/>
        </w:rPr>
        <w:t>提质更新换代 推动基础设施新升级</w:t>
      </w:r>
      <w:r>
        <w:rPr>
          <w:color w:val="auto"/>
          <w:highlight w:val="none"/>
        </w:rPr>
        <w:tab/>
      </w:r>
      <w:r>
        <w:rPr>
          <w:color w:val="auto"/>
          <w:highlight w:val="none"/>
        </w:rPr>
        <w:fldChar w:fldCharType="begin"/>
      </w:r>
      <w:r>
        <w:rPr>
          <w:color w:val="auto"/>
          <w:highlight w:val="none"/>
        </w:rPr>
        <w:instrText xml:space="preserve"> PAGEREF _Toc17093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_Toc7760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构建现代大交通骨干体系</w:t>
      </w:r>
      <w:r>
        <w:rPr>
          <w:color w:val="auto"/>
          <w:highlight w:val="none"/>
        </w:rPr>
        <w:tab/>
      </w:r>
      <w:r>
        <w:rPr>
          <w:color w:val="auto"/>
          <w:highlight w:val="none"/>
        </w:rPr>
        <w:fldChar w:fldCharType="begin"/>
      </w:r>
      <w:r>
        <w:rPr>
          <w:color w:val="auto"/>
          <w:highlight w:val="none"/>
        </w:rPr>
        <w:instrText xml:space="preserve"> PAGEREF _Toc7760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_Toc31425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建立现代能源保障体系</w:t>
      </w:r>
      <w:r>
        <w:rPr>
          <w:color w:val="auto"/>
          <w:highlight w:val="none"/>
        </w:rPr>
        <w:tab/>
      </w:r>
      <w:r>
        <w:rPr>
          <w:color w:val="auto"/>
          <w:highlight w:val="none"/>
        </w:rPr>
        <w:fldChar w:fldCharType="begin"/>
      </w:r>
      <w:r>
        <w:rPr>
          <w:color w:val="auto"/>
          <w:highlight w:val="none"/>
        </w:rPr>
        <w:instrText xml:space="preserve"> PAGEREF _Toc31425 \h </w:instrText>
      </w:r>
      <w:r>
        <w:rPr>
          <w:color w:val="auto"/>
          <w:highlight w:val="none"/>
        </w:rPr>
        <w:fldChar w:fldCharType="separate"/>
      </w:r>
      <w:r>
        <w:rPr>
          <w:color w:val="auto"/>
          <w:highlight w:val="none"/>
        </w:rPr>
        <w:t>65</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_Toc26104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完善</w:t>
      </w:r>
      <w:r>
        <w:rPr>
          <w:rFonts w:hint="eastAsia" w:ascii="宋体" w:hAnsi="宋体"/>
          <w:color w:val="auto"/>
          <w:highlight w:val="none"/>
          <w:lang w:val="en-US" w:eastAsia="zh-CN"/>
        </w:rPr>
        <w:t>数字化</w:t>
      </w:r>
      <w:r>
        <w:rPr>
          <w:rFonts w:hint="default" w:ascii="宋体" w:hAnsi="宋体"/>
          <w:color w:val="auto"/>
          <w:highlight w:val="none"/>
        </w:rPr>
        <w:t>信息化网络体系</w:t>
      </w:r>
      <w:r>
        <w:rPr>
          <w:color w:val="auto"/>
          <w:highlight w:val="none"/>
        </w:rPr>
        <w:tab/>
      </w:r>
      <w:r>
        <w:rPr>
          <w:color w:val="auto"/>
          <w:highlight w:val="none"/>
        </w:rPr>
        <w:fldChar w:fldCharType="begin"/>
      </w:r>
      <w:r>
        <w:rPr>
          <w:color w:val="auto"/>
          <w:highlight w:val="none"/>
        </w:rPr>
        <w:instrText xml:space="preserve"> PAGEREF _Toc26104 \h </w:instrText>
      </w:r>
      <w:r>
        <w:rPr>
          <w:color w:val="auto"/>
          <w:highlight w:val="none"/>
        </w:rPr>
        <w:fldChar w:fldCharType="separate"/>
      </w:r>
      <w:r>
        <w:rPr>
          <w:color w:val="auto"/>
          <w:highlight w:val="none"/>
        </w:rPr>
        <w:t>66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_Toc2920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第四节 优化完善水利保障体系</w:t>
      </w:r>
      <w:r>
        <w:rPr>
          <w:color w:val="auto"/>
          <w:highlight w:val="none"/>
        </w:rPr>
        <w:tab/>
      </w:r>
      <w:r>
        <w:rPr>
          <w:color w:val="auto"/>
          <w:highlight w:val="none"/>
        </w:rPr>
        <w:fldChar w:fldCharType="begin"/>
      </w:r>
      <w:r>
        <w:rPr>
          <w:color w:val="auto"/>
          <w:highlight w:val="none"/>
        </w:rPr>
        <w:instrText xml:space="preserve"> PAGEREF _Toc2920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_Toc11171 </w:instrText>
      </w:r>
      <w:r>
        <w:rPr>
          <w:rFonts w:hint="default" w:ascii="Times New Roman" w:hAnsi="Times New Roman" w:eastAsia="宋体" w:cs="Times New Roman"/>
          <w:color w:val="auto"/>
          <w:szCs w:val="28"/>
          <w:highlight w:val="none"/>
        </w:rPr>
        <w:fldChar w:fldCharType="separate"/>
      </w:r>
      <w:r>
        <w:rPr>
          <w:rFonts w:hint="eastAsia"/>
          <w:color w:val="auto"/>
          <w:highlight w:val="none"/>
        </w:rPr>
        <w:t>第</w:t>
      </w:r>
      <w:r>
        <w:rPr>
          <w:rFonts w:hint="eastAsia"/>
          <w:color w:val="auto"/>
          <w:highlight w:val="none"/>
          <w:lang w:val="en-US" w:eastAsia="zh-CN"/>
        </w:rPr>
        <w:t>六</w:t>
      </w:r>
      <w:r>
        <w:rPr>
          <w:rFonts w:hint="eastAsia"/>
          <w:color w:val="auto"/>
          <w:highlight w:val="none"/>
        </w:rPr>
        <w:t>章  优化空间布局 打造城市扩容提质新面貌</w:t>
      </w:r>
      <w:r>
        <w:rPr>
          <w:color w:val="auto"/>
          <w:highlight w:val="none"/>
        </w:rPr>
        <w:tab/>
      </w:r>
      <w:r>
        <w:rPr>
          <w:color w:val="auto"/>
          <w:highlight w:val="none"/>
        </w:rPr>
        <w:fldChar w:fldCharType="begin"/>
      </w:r>
      <w:r>
        <w:rPr>
          <w:color w:val="auto"/>
          <w:highlight w:val="none"/>
        </w:rPr>
        <w:instrText xml:space="preserve"> PAGEREF _Toc11171 \h </w:instrText>
      </w:r>
      <w:r>
        <w:rPr>
          <w:color w:val="auto"/>
          <w:highlight w:val="none"/>
        </w:rPr>
        <w:fldChar w:fldCharType="separate"/>
      </w:r>
      <w:r>
        <w:rPr>
          <w:color w:val="auto"/>
          <w:highlight w:val="none"/>
        </w:rPr>
        <w:t>70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_Toc26755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lang w:val="en-US" w:eastAsia="zh-CN"/>
        </w:rPr>
        <w:t>第一节 优化城市空间布局</w:t>
      </w:r>
      <w:r>
        <w:rPr>
          <w:color w:val="auto"/>
          <w:highlight w:val="none"/>
        </w:rPr>
        <w:tab/>
      </w:r>
      <w:r>
        <w:rPr>
          <w:color w:val="auto"/>
          <w:highlight w:val="none"/>
        </w:rPr>
        <w:fldChar w:fldCharType="begin"/>
      </w:r>
      <w:r>
        <w:rPr>
          <w:color w:val="auto"/>
          <w:highlight w:val="none"/>
        </w:rPr>
        <w:instrText xml:space="preserve"> PAGEREF _Toc26755 \h </w:instrText>
      </w:r>
      <w:r>
        <w:rPr>
          <w:color w:val="auto"/>
          <w:highlight w:val="none"/>
        </w:rPr>
        <w:fldChar w:fldCharType="separate"/>
      </w:r>
      <w:r>
        <w:rPr>
          <w:color w:val="auto"/>
          <w:highlight w:val="none"/>
        </w:rPr>
        <w:t>70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_Toc11164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lang w:val="en-US" w:eastAsia="zh-CN"/>
        </w:rPr>
        <w:t xml:space="preserve">第二节 </w:t>
      </w:r>
      <w:r>
        <w:rPr>
          <w:rFonts w:hint="default" w:ascii="宋体" w:hAnsi="宋体"/>
          <w:color w:val="auto"/>
          <w:highlight w:val="none"/>
        </w:rPr>
        <w:t>提升城区发展能级</w:t>
      </w:r>
      <w:r>
        <w:rPr>
          <w:color w:val="auto"/>
          <w:highlight w:val="none"/>
        </w:rPr>
        <w:tab/>
      </w:r>
      <w:r>
        <w:rPr>
          <w:color w:val="auto"/>
          <w:highlight w:val="none"/>
        </w:rPr>
        <w:fldChar w:fldCharType="begin"/>
      </w:r>
      <w:r>
        <w:rPr>
          <w:color w:val="auto"/>
          <w:highlight w:val="none"/>
        </w:rPr>
        <w:instrText xml:space="preserve"> PAGEREF _Toc11164 \h </w:instrText>
      </w:r>
      <w:r>
        <w:rPr>
          <w:color w:val="auto"/>
          <w:highlight w:val="none"/>
        </w:rPr>
        <w:fldChar w:fldCharType="separate"/>
      </w:r>
      <w:r>
        <w:rPr>
          <w:color w:val="auto"/>
          <w:highlight w:val="none"/>
        </w:rPr>
        <w:t>71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_Toc15826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w:t>
      </w:r>
      <w:r>
        <w:rPr>
          <w:rFonts w:hint="eastAsia" w:ascii="宋体" w:hAnsi="宋体"/>
          <w:color w:val="auto"/>
          <w:highlight w:val="none"/>
          <w:lang w:val="en-US" w:eastAsia="zh-CN"/>
        </w:rPr>
        <w:t>三</w:t>
      </w:r>
      <w:r>
        <w:rPr>
          <w:rFonts w:hint="default" w:ascii="宋体" w:hAnsi="宋体"/>
          <w:color w:val="auto"/>
          <w:highlight w:val="none"/>
        </w:rPr>
        <w:t>节 强化城市精细化管理</w:t>
      </w:r>
      <w:r>
        <w:rPr>
          <w:color w:val="auto"/>
          <w:highlight w:val="none"/>
        </w:rPr>
        <w:tab/>
      </w:r>
      <w:r>
        <w:rPr>
          <w:color w:val="auto"/>
          <w:highlight w:val="none"/>
        </w:rPr>
        <w:fldChar w:fldCharType="begin"/>
      </w:r>
      <w:r>
        <w:rPr>
          <w:color w:val="auto"/>
          <w:highlight w:val="none"/>
        </w:rPr>
        <w:instrText xml:space="preserve"> PAGEREF _Toc15826 \h </w:instrText>
      </w:r>
      <w:r>
        <w:rPr>
          <w:color w:val="auto"/>
          <w:highlight w:val="none"/>
        </w:rPr>
        <w:fldChar w:fldCharType="separate"/>
      </w:r>
      <w:r>
        <w:rPr>
          <w:color w:val="auto"/>
          <w:highlight w:val="none"/>
        </w:rPr>
        <w:t>73</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_Toc23199 </w:instrText>
      </w:r>
      <w:r>
        <w:rPr>
          <w:rFonts w:hint="default" w:ascii="Times New Roman" w:hAnsi="Times New Roman" w:eastAsia="宋体" w:cs="Times New Roman"/>
          <w:color w:val="auto"/>
          <w:szCs w:val="28"/>
          <w:highlight w:val="none"/>
        </w:rPr>
        <w:fldChar w:fldCharType="separate"/>
      </w:r>
      <w:r>
        <w:rPr>
          <w:color w:val="auto"/>
          <w:highlight w:val="none"/>
        </w:rPr>
        <w:t>第</w:t>
      </w:r>
      <w:r>
        <w:rPr>
          <w:rFonts w:hint="eastAsia"/>
          <w:color w:val="auto"/>
          <w:highlight w:val="none"/>
          <w:lang w:val="en-US" w:eastAsia="zh-CN"/>
        </w:rPr>
        <w:t>七</w:t>
      </w:r>
      <w:r>
        <w:rPr>
          <w:color w:val="auto"/>
          <w:highlight w:val="none"/>
        </w:rPr>
        <w:t xml:space="preserve">章  </w:t>
      </w:r>
      <w:r>
        <w:rPr>
          <w:rFonts w:hint="eastAsia"/>
          <w:color w:val="auto"/>
          <w:highlight w:val="none"/>
        </w:rPr>
        <w:t>统筹兼顾发展 迈进城乡融合新阶段</w:t>
      </w:r>
      <w:r>
        <w:rPr>
          <w:color w:val="auto"/>
          <w:highlight w:val="none"/>
        </w:rPr>
        <w:tab/>
      </w:r>
      <w:r>
        <w:rPr>
          <w:color w:val="auto"/>
          <w:highlight w:val="none"/>
        </w:rPr>
        <w:fldChar w:fldCharType="begin"/>
      </w:r>
      <w:r>
        <w:rPr>
          <w:color w:val="auto"/>
          <w:highlight w:val="none"/>
        </w:rPr>
        <w:instrText xml:space="preserve"> PAGEREF _Toc23199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_Toc6174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积极开展美丽乡村建设</w:t>
      </w:r>
      <w:r>
        <w:rPr>
          <w:color w:val="auto"/>
          <w:highlight w:val="none"/>
        </w:rPr>
        <w:tab/>
      </w:r>
      <w:r>
        <w:rPr>
          <w:color w:val="auto"/>
          <w:highlight w:val="none"/>
        </w:rPr>
        <w:fldChar w:fldCharType="begin"/>
      </w:r>
      <w:r>
        <w:rPr>
          <w:color w:val="auto"/>
          <w:highlight w:val="none"/>
        </w:rPr>
        <w:instrText xml:space="preserve"> PAGEREF _Toc6174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_Toc14685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深化农村综合改革</w:t>
      </w:r>
      <w:r>
        <w:rPr>
          <w:color w:val="auto"/>
          <w:highlight w:val="none"/>
        </w:rPr>
        <w:tab/>
      </w:r>
      <w:r>
        <w:rPr>
          <w:color w:val="auto"/>
          <w:highlight w:val="none"/>
        </w:rPr>
        <w:fldChar w:fldCharType="begin"/>
      </w:r>
      <w:r>
        <w:rPr>
          <w:color w:val="auto"/>
          <w:highlight w:val="none"/>
        </w:rPr>
        <w:instrText xml:space="preserve"> PAGEREF _Toc14685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_Toc18459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推动城乡融合发展</w:t>
      </w:r>
      <w:r>
        <w:rPr>
          <w:color w:val="auto"/>
          <w:highlight w:val="none"/>
        </w:rPr>
        <w:tab/>
      </w:r>
      <w:r>
        <w:rPr>
          <w:color w:val="auto"/>
          <w:highlight w:val="none"/>
        </w:rPr>
        <w:fldChar w:fldCharType="begin"/>
      </w:r>
      <w:r>
        <w:rPr>
          <w:color w:val="auto"/>
          <w:highlight w:val="none"/>
        </w:rPr>
        <w:instrText xml:space="preserve"> PAGEREF _Toc18459 \h </w:instrText>
      </w:r>
      <w:r>
        <w:rPr>
          <w:color w:val="auto"/>
          <w:highlight w:val="none"/>
        </w:rPr>
        <w:fldChar w:fldCharType="separate"/>
      </w:r>
      <w:r>
        <w:rPr>
          <w:color w:val="auto"/>
          <w:highlight w:val="none"/>
        </w:rPr>
        <w:t>79</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_Toc1374 </w:instrText>
      </w:r>
      <w:r>
        <w:rPr>
          <w:rFonts w:hint="default" w:ascii="Times New Roman" w:hAnsi="Times New Roman" w:eastAsia="宋体" w:cs="Times New Roman"/>
          <w:color w:val="auto"/>
          <w:szCs w:val="28"/>
          <w:highlight w:val="none"/>
        </w:rPr>
        <w:fldChar w:fldCharType="separate"/>
      </w:r>
      <w:r>
        <w:rPr>
          <w:color w:val="auto"/>
          <w:highlight w:val="none"/>
        </w:rPr>
        <w:t>第</w:t>
      </w:r>
      <w:r>
        <w:rPr>
          <w:rFonts w:hint="eastAsia"/>
          <w:color w:val="auto"/>
          <w:highlight w:val="none"/>
          <w:lang w:val="en-US" w:eastAsia="zh-CN"/>
        </w:rPr>
        <w:t>八</w:t>
      </w:r>
      <w:r>
        <w:rPr>
          <w:color w:val="auto"/>
          <w:highlight w:val="none"/>
        </w:rPr>
        <w:t xml:space="preserve">章  </w:t>
      </w:r>
      <w:r>
        <w:rPr>
          <w:rFonts w:hint="eastAsia"/>
          <w:color w:val="auto"/>
          <w:highlight w:val="none"/>
        </w:rPr>
        <w:t>促进融合发展 探索区域合作新模式</w:t>
      </w:r>
      <w:r>
        <w:rPr>
          <w:color w:val="auto"/>
          <w:highlight w:val="none"/>
        </w:rPr>
        <w:tab/>
      </w:r>
      <w:r>
        <w:rPr>
          <w:color w:val="auto"/>
          <w:highlight w:val="none"/>
        </w:rPr>
        <w:fldChar w:fldCharType="begin"/>
      </w:r>
      <w:r>
        <w:rPr>
          <w:color w:val="auto"/>
          <w:highlight w:val="none"/>
        </w:rPr>
        <w:instrText xml:space="preserve"> PAGEREF _Toc1374 \h </w:instrText>
      </w:r>
      <w:r>
        <w:rPr>
          <w:color w:val="auto"/>
          <w:highlight w:val="none"/>
        </w:rPr>
        <w:fldChar w:fldCharType="separate"/>
      </w:r>
      <w:r>
        <w:rPr>
          <w:color w:val="auto"/>
          <w:highlight w:val="none"/>
        </w:rPr>
        <w:t>81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_Toc3661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积极融入粤港澳大湾区</w:t>
      </w:r>
      <w:r>
        <w:rPr>
          <w:color w:val="auto"/>
          <w:highlight w:val="none"/>
        </w:rPr>
        <w:tab/>
      </w:r>
      <w:r>
        <w:rPr>
          <w:color w:val="auto"/>
          <w:highlight w:val="none"/>
        </w:rPr>
        <w:fldChar w:fldCharType="begin"/>
      </w:r>
      <w:r>
        <w:rPr>
          <w:color w:val="auto"/>
          <w:highlight w:val="none"/>
        </w:rPr>
        <w:instrText xml:space="preserve"> PAGEREF _Toc3661 \h </w:instrText>
      </w:r>
      <w:r>
        <w:rPr>
          <w:color w:val="auto"/>
          <w:highlight w:val="none"/>
        </w:rPr>
        <w:fldChar w:fldCharType="separate"/>
      </w:r>
      <w:r>
        <w:rPr>
          <w:color w:val="auto"/>
          <w:highlight w:val="none"/>
        </w:rPr>
        <w:t>81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_Toc31177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全力对接海南自贸港建设</w:t>
      </w:r>
      <w:r>
        <w:rPr>
          <w:color w:val="auto"/>
          <w:highlight w:val="none"/>
        </w:rPr>
        <w:tab/>
      </w:r>
      <w:r>
        <w:rPr>
          <w:color w:val="auto"/>
          <w:highlight w:val="none"/>
        </w:rPr>
        <w:fldChar w:fldCharType="begin"/>
      </w:r>
      <w:r>
        <w:rPr>
          <w:color w:val="auto"/>
          <w:highlight w:val="none"/>
        </w:rPr>
        <w:instrText xml:space="preserve"> PAGEREF _Toc31177 \h </w:instrText>
      </w:r>
      <w:r>
        <w:rPr>
          <w:color w:val="auto"/>
          <w:highlight w:val="none"/>
        </w:rPr>
        <w:fldChar w:fldCharType="separate"/>
      </w:r>
      <w:r>
        <w:rPr>
          <w:color w:val="auto"/>
          <w:highlight w:val="none"/>
        </w:rPr>
        <w:t>82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_Toc2856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紧密连接北部湾城市群</w:t>
      </w:r>
      <w:r>
        <w:rPr>
          <w:color w:val="auto"/>
          <w:highlight w:val="none"/>
        </w:rPr>
        <w:tab/>
      </w:r>
      <w:r>
        <w:rPr>
          <w:color w:val="auto"/>
          <w:highlight w:val="none"/>
        </w:rPr>
        <w:fldChar w:fldCharType="begin"/>
      </w:r>
      <w:r>
        <w:rPr>
          <w:color w:val="auto"/>
          <w:highlight w:val="none"/>
        </w:rPr>
        <w:instrText xml:space="preserve"> PAGEREF _Toc2856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_Toc26502 </w:instrText>
      </w:r>
      <w:r>
        <w:rPr>
          <w:rFonts w:hint="default" w:ascii="Times New Roman" w:hAnsi="Times New Roman" w:eastAsia="宋体" w:cs="Times New Roman"/>
          <w:color w:val="auto"/>
          <w:szCs w:val="28"/>
          <w:highlight w:val="none"/>
        </w:rPr>
        <w:fldChar w:fldCharType="separate"/>
      </w:r>
      <w:r>
        <w:rPr>
          <w:color w:val="auto"/>
          <w:highlight w:val="none"/>
        </w:rPr>
        <w:t>第</w:t>
      </w:r>
      <w:r>
        <w:rPr>
          <w:rFonts w:hint="eastAsia"/>
          <w:color w:val="auto"/>
          <w:highlight w:val="none"/>
          <w:lang w:val="en-US" w:eastAsia="zh-CN"/>
        </w:rPr>
        <w:t>九</w:t>
      </w:r>
      <w:r>
        <w:rPr>
          <w:color w:val="auto"/>
          <w:highlight w:val="none"/>
        </w:rPr>
        <w:t xml:space="preserve">章  </w:t>
      </w:r>
      <w:r>
        <w:rPr>
          <w:rFonts w:hint="eastAsia"/>
          <w:color w:val="auto"/>
          <w:highlight w:val="none"/>
        </w:rPr>
        <w:t>增创开放优势 开启改革开放新格局</w:t>
      </w:r>
      <w:r>
        <w:rPr>
          <w:color w:val="auto"/>
          <w:highlight w:val="none"/>
        </w:rPr>
        <w:tab/>
      </w:r>
      <w:r>
        <w:rPr>
          <w:color w:val="auto"/>
          <w:highlight w:val="none"/>
        </w:rPr>
        <w:fldChar w:fldCharType="begin"/>
      </w:r>
      <w:r>
        <w:rPr>
          <w:color w:val="auto"/>
          <w:highlight w:val="none"/>
        </w:rPr>
        <w:instrText xml:space="preserve"> PAGEREF _Toc26502 \h </w:instrText>
      </w:r>
      <w:r>
        <w:rPr>
          <w:color w:val="auto"/>
          <w:highlight w:val="none"/>
        </w:rPr>
        <w:fldChar w:fldCharType="separate"/>
      </w:r>
      <w:r>
        <w:rPr>
          <w:color w:val="auto"/>
          <w:highlight w:val="none"/>
        </w:rPr>
        <w:t>84</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_Toc15663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 xml:space="preserve">第一节 </w:t>
      </w:r>
      <w:r>
        <w:rPr>
          <w:rFonts w:hint="eastAsia" w:ascii="宋体" w:hAnsi="宋体"/>
          <w:color w:val="auto"/>
          <w:highlight w:val="none"/>
          <w:lang w:val="en-US" w:eastAsia="zh-CN"/>
        </w:rPr>
        <w:t>打造优质</w:t>
      </w:r>
      <w:r>
        <w:rPr>
          <w:rFonts w:hint="default" w:ascii="宋体" w:hAnsi="宋体"/>
          <w:color w:val="auto"/>
          <w:highlight w:val="none"/>
        </w:rPr>
        <w:t>营商环境</w:t>
      </w:r>
      <w:r>
        <w:rPr>
          <w:color w:val="auto"/>
          <w:highlight w:val="none"/>
        </w:rPr>
        <w:tab/>
      </w:r>
      <w:r>
        <w:rPr>
          <w:color w:val="auto"/>
          <w:highlight w:val="none"/>
        </w:rPr>
        <w:fldChar w:fldCharType="begin"/>
      </w:r>
      <w:r>
        <w:rPr>
          <w:color w:val="auto"/>
          <w:highlight w:val="none"/>
        </w:rPr>
        <w:instrText xml:space="preserve"> PAGEREF _Toc15663 \h </w:instrText>
      </w:r>
      <w:r>
        <w:rPr>
          <w:color w:val="auto"/>
          <w:highlight w:val="none"/>
        </w:rPr>
        <w:fldChar w:fldCharType="separate"/>
      </w:r>
      <w:r>
        <w:rPr>
          <w:color w:val="auto"/>
          <w:highlight w:val="none"/>
        </w:rPr>
        <w:t>84</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_Toc26455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创新政府服务模式</w:t>
      </w:r>
      <w:r>
        <w:rPr>
          <w:color w:val="auto"/>
          <w:highlight w:val="none"/>
        </w:rPr>
        <w:tab/>
      </w:r>
      <w:r>
        <w:rPr>
          <w:color w:val="auto"/>
          <w:highlight w:val="none"/>
        </w:rPr>
        <w:fldChar w:fldCharType="begin"/>
      </w:r>
      <w:r>
        <w:rPr>
          <w:color w:val="auto"/>
          <w:highlight w:val="none"/>
        </w:rPr>
        <w:instrText xml:space="preserve"> PAGEREF _Toc26455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_Toc25892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推进外贸转型升级</w:t>
      </w:r>
      <w:r>
        <w:rPr>
          <w:color w:val="auto"/>
          <w:highlight w:val="none"/>
        </w:rPr>
        <w:tab/>
      </w:r>
      <w:r>
        <w:rPr>
          <w:color w:val="auto"/>
          <w:highlight w:val="none"/>
        </w:rPr>
        <w:fldChar w:fldCharType="begin"/>
      </w:r>
      <w:r>
        <w:rPr>
          <w:color w:val="auto"/>
          <w:highlight w:val="none"/>
        </w:rPr>
        <w:instrText xml:space="preserve"> PAGEREF _Toc25892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_Toc15838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第四节 加强东盟合作对接</w:t>
      </w:r>
      <w:r>
        <w:rPr>
          <w:color w:val="auto"/>
          <w:highlight w:val="none"/>
        </w:rPr>
        <w:tab/>
      </w:r>
      <w:r>
        <w:rPr>
          <w:color w:val="auto"/>
          <w:highlight w:val="none"/>
        </w:rPr>
        <w:fldChar w:fldCharType="begin"/>
      </w:r>
      <w:r>
        <w:rPr>
          <w:color w:val="auto"/>
          <w:highlight w:val="none"/>
        </w:rPr>
        <w:instrText xml:space="preserve"> PAGEREF _Toc15838 \h </w:instrText>
      </w:r>
      <w:r>
        <w:rPr>
          <w:color w:val="auto"/>
          <w:highlight w:val="none"/>
        </w:rPr>
        <w:fldChar w:fldCharType="separate"/>
      </w:r>
      <w:r>
        <w:rPr>
          <w:color w:val="auto"/>
          <w:highlight w:val="none"/>
        </w:rPr>
        <w:t>88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_Toc10366 </w:instrText>
      </w:r>
      <w:r>
        <w:rPr>
          <w:rFonts w:hint="default" w:ascii="Times New Roman" w:hAnsi="Times New Roman" w:eastAsia="宋体" w:cs="Times New Roman"/>
          <w:color w:val="auto"/>
          <w:szCs w:val="28"/>
          <w:highlight w:val="none"/>
        </w:rPr>
        <w:fldChar w:fldCharType="separate"/>
      </w:r>
      <w:r>
        <w:rPr>
          <w:rFonts w:hint="default"/>
          <w:color w:val="auto"/>
          <w:highlight w:val="none"/>
        </w:rPr>
        <w:t>第五节 引进国际先进技术</w:t>
      </w:r>
      <w:r>
        <w:rPr>
          <w:color w:val="auto"/>
          <w:highlight w:val="none"/>
        </w:rPr>
        <w:tab/>
      </w:r>
      <w:r>
        <w:rPr>
          <w:color w:val="auto"/>
          <w:highlight w:val="none"/>
        </w:rPr>
        <w:fldChar w:fldCharType="begin"/>
      </w:r>
      <w:r>
        <w:rPr>
          <w:color w:val="auto"/>
          <w:highlight w:val="none"/>
        </w:rPr>
        <w:instrText xml:space="preserve"> PAGEREF _Toc10366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_Toc2216 </w:instrText>
      </w:r>
      <w:r>
        <w:rPr>
          <w:rFonts w:hint="default" w:ascii="Times New Roman" w:hAnsi="Times New Roman" w:eastAsia="宋体" w:cs="Times New Roman"/>
          <w:color w:val="auto"/>
          <w:szCs w:val="28"/>
          <w:highlight w:val="none"/>
        </w:rPr>
        <w:fldChar w:fldCharType="separate"/>
      </w:r>
      <w:r>
        <w:rPr>
          <w:color w:val="auto"/>
          <w:highlight w:val="none"/>
        </w:rPr>
        <w:t>第</w:t>
      </w:r>
      <w:r>
        <w:rPr>
          <w:rFonts w:hint="eastAsia"/>
          <w:color w:val="auto"/>
          <w:highlight w:val="none"/>
          <w:lang w:val="en-US" w:eastAsia="zh-CN"/>
        </w:rPr>
        <w:t>十</w:t>
      </w:r>
      <w:r>
        <w:rPr>
          <w:color w:val="auto"/>
          <w:highlight w:val="none"/>
        </w:rPr>
        <w:t xml:space="preserve">章  </w:t>
      </w:r>
      <w:r>
        <w:rPr>
          <w:rFonts w:hint="eastAsia"/>
          <w:color w:val="auto"/>
          <w:highlight w:val="none"/>
        </w:rPr>
        <w:t>绿色低碳发展 树立生态文明新标杆</w:t>
      </w:r>
      <w:r>
        <w:rPr>
          <w:color w:val="auto"/>
          <w:highlight w:val="none"/>
        </w:rPr>
        <w:tab/>
      </w:r>
      <w:r>
        <w:rPr>
          <w:color w:val="auto"/>
          <w:highlight w:val="none"/>
        </w:rPr>
        <w:fldChar w:fldCharType="begin"/>
      </w:r>
      <w:r>
        <w:rPr>
          <w:color w:val="auto"/>
          <w:highlight w:val="none"/>
        </w:rPr>
        <w:instrText xml:space="preserve"> PAGEREF _Toc2216 \h </w:instrText>
      </w:r>
      <w:r>
        <w:rPr>
          <w:color w:val="auto"/>
          <w:highlight w:val="none"/>
        </w:rPr>
        <w:fldChar w:fldCharType="separate"/>
      </w:r>
      <w:r>
        <w:rPr>
          <w:color w:val="auto"/>
          <w:highlight w:val="none"/>
        </w:rPr>
        <w:t>90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_Toc19645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持续改善生态环境</w:t>
      </w:r>
      <w:r>
        <w:rPr>
          <w:color w:val="auto"/>
          <w:highlight w:val="none"/>
        </w:rPr>
        <w:tab/>
      </w:r>
      <w:r>
        <w:rPr>
          <w:color w:val="auto"/>
          <w:highlight w:val="none"/>
        </w:rPr>
        <w:fldChar w:fldCharType="begin"/>
      </w:r>
      <w:r>
        <w:rPr>
          <w:color w:val="auto"/>
          <w:highlight w:val="none"/>
        </w:rPr>
        <w:instrText xml:space="preserve"> PAGEREF _Toc19645 \h </w:instrText>
      </w:r>
      <w:r>
        <w:rPr>
          <w:color w:val="auto"/>
          <w:highlight w:val="none"/>
        </w:rPr>
        <w:fldChar w:fldCharType="separate"/>
      </w:r>
      <w:r>
        <w:rPr>
          <w:color w:val="auto"/>
          <w:highlight w:val="none"/>
        </w:rPr>
        <w:t>90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_Toc17587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大力发展绿色经济</w:t>
      </w:r>
      <w:r>
        <w:rPr>
          <w:color w:val="auto"/>
          <w:highlight w:val="none"/>
        </w:rPr>
        <w:tab/>
      </w:r>
      <w:r>
        <w:rPr>
          <w:color w:val="auto"/>
          <w:highlight w:val="none"/>
        </w:rPr>
        <w:fldChar w:fldCharType="begin"/>
      </w:r>
      <w:r>
        <w:rPr>
          <w:color w:val="auto"/>
          <w:highlight w:val="none"/>
        </w:rPr>
        <w:instrText xml:space="preserve"> PAGEREF _Toc17587 \h </w:instrText>
      </w:r>
      <w:r>
        <w:rPr>
          <w:color w:val="auto"/>
          <w:highlight w:val="none"/>
        </w:rPr>
        <w:fldChar w:fldCharType="separate"/>
      </w:r>
      <w:r>
        <w:rPr>
          <w:color w:val="auto"/>
          <w:highlight w:val="none"/>
        </w:rPr>
        <w:t>92</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_Toc31331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建设生态宜居环境</w:t>
      </w:r>
      <w:r>
        <w:rPr>
          <w:color w:val="auto"/>
          <w:highlight w:val="none"/>
        </w:rPr>
        <w:tab/>
      </w:r>
      <w:r>
        <w:rPr>
          <w:color w:val="auto"/>
          <w:highlight w:val="none"/>
        </w:rPr>
        <w:fldChar w:fldCharType="begin"/>
      </w:r>
      <w:r>
        <w:rPr>
          <w:color w:val="auto"/>
          <w:highlight w:val="none"/>
        </w:rPr>
        <w:instrText xml:space="preserve"> PAGEREF _Toc31331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_Toc524 </w:instrText>
      </w:r>
      <w:r>
        <w:rPr>
          <w:rFonts w:hint="default" w:ascii="Times New Roman" w:hAnsi="Times New Roman" w:eastAsia="宋体" w:cs="Times New Roman"/>
          <w:color w:val="auto"/>
          <w:szCs w:val="28"/>
          <w:highlight w:val="none"/>
        </w:rPr>
        <w:fldChar w:fldCharType="separate"/>
      </w:r>
      <w:r>
        <w:rPr>
          <w:color w:val="auto"/>
          <w:highlight w:val="none"/>
        </w:rPr>
        <w:t>第十</w:t>
      </w:r>
      <w:r>
        <w:rPr>
          <w:rFonts w:hint="eastAsia"/>
          <w:color w:val="auto"/>
          <w:highlight w:val="none"/>
        </w:rPr>
        <w:t>一</w:t>
      </w:r>
      <w:r>
        <w:rPr>
          <w:color w:val="auto"/>
          <w:highlight w:val="none"/>
        </w:rPr>
        <w:t xml:space="preserve">章  </w:t>
      </w:r>
      <w:r>
        <w:rPr>
          <w:rFonts w:hint="eastAsia"/>
          <w:color w:val="auto"/>
          <w:highlight w:val="none"/>
        </w:rPr>
        <w:t>促进普惠共享 实现民生福祉新改善</w:t>
      </w:r>
      <w:r>
        <w:rPr>
          <w:color w:val="auto"/>
          <w:highlight w:val="none"/>
        </w:rPr>
        <w:tab/>
      </w:r>
      <w:r>
        <w:rPr>
          <w:color w:val="auto"/>
          <w:highlight w:val="none"/>
        </w:rPr>
        <w:fldChar w:fldCharType="begin"/>
      </w:r>
      <w:r>
        <w:rPr>
          <w:color w:val="auto"/>
          <w:highlight w:val="none"/>
        </w:rPr>
        <w:instrText xml:space="preserve"> PAGEREF _Toc524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_Toc11408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提高就业质量和居民收入水平</w:t>
      </w:r>
      <w:r>
        <w:rPr>
          <w:color w:val="auto"/>
          <w:highlight w:val="none"/>
        </w:rPr>
        <w:tab/>
      </w:r>
      <w:r>
        <w:rPr>
          <w:color w:val="auto"/>
          <w:highlight w:val="none"/>
        </w:rPr>
        <w:fldChar w:fldCharType="begin"/>
      </w:r>
      <w:r>
        <w:rPr>
          <w:color w:val="auto"/>
          <w:highlight w:val="none"/>
        </w:rPr>
        <w:instrText xml:space="preserve"> PAGEREF _Toc11408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_Toc30074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健全城乡社会保障体系</w:t>
      </w:r>
      <w:r>
        <w:rPr>
          <w:color w:val="auto"/>
          <w:highlight w:val="none"/>
        </w:rPr>
        <w:tab/>
      </w:r>
      <w:r>
        <w:rPr>
          <w:color w:val="auto"/>
          <w:highlight w:val="none"/>
        </w:rPr>
        <w:fldChar w:fldCharType="begin"/>
      </w:r>
      <w:r>
        <w:rPr>
          <w:color w:val="auto"/>
          <w:highlight w:val="none"/>
        </w:rPr>
        <w:instrText xml:space="preserve"> PAGEREF _Toc30074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_Toc23183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完善养老服务体系</w:t>
      </w:r>
      <w:r>
        <w:rPr>
          <w:color w:val="auto"/>
          <w:highlight w:val="none"/>
        </w:rPr>
        <w:tab/>
      </w:r>
      <w:r>
        <w:rPr>
          <w:color w:val="auto"/>
          <w:highlight w:val="none"/>
        </w:rPr>
        <w:fldChar w:fldCharType="begin"/>
      </w:r>
      <w:r>
        <w:rPr>
          <w:color w:val="auto"/>
          <w:highlight w:val="none"/>
        </w:rPr>
        <w:instrText xml:space="preserve"> PAGEREF _Toc23183 \h </w:instrText>
      </w:r>
      <w:r>
        <w:rPr>
          <w:color w:val="auto"/>
          <w:highlight w:val="none"/>
        </w:rPr>
        <w:fldChar w:fldCharType="separate"/>
      </w:r>
      <w:r>
        <w:rPr>
          <w:color w:val="auto"/>
          <w:highlight w:val="none"/>
        </w:rPr>
        <w:t>98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_Toc24648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第四节 建设高质量教育体系</w:t>
      </w:r>
      <w:r>
        <w:rPr>
          <w:color w:val="auto"/>
          <w:highlight w:val="none"/>
        </w:rPr>
        <w:tab/>
      </w:r>
      <w:r>
        <w:rPr>
          <w:color w:val="auto"/>
          <w:highlight w:val="none"/>
        </w:rPr>
        <w:fldChar w:fldCharType="begin"/>
      </w:r>
      <w:r>
        <w:rPr>
          <w:color w:val="auto"/>
          <w:highlight w:val="none"/>
        </w:rPr>
        <w:instrText xml:space="preserve"> PAGEREF _Toc24648 \h </w:instrText>
      </w:r>
      <w:r>
        <w:rPr>
          <w:color w:val="auto"/>
          <w:highlight w:val="none"/>
        </w:rPr>
        <w:fldChar w:fldCharType="separate"/>
      </w:r>
      <w:r>
        <w:rPr>
          <w:color w:val="auto"/>
          <w:highlight w:val="none"/>
        </w:rPr>
        <w:t>99</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_Toc4833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 xml:space="preserve">第五节 </w:t>
      </w:r>
      <w:r>
        <w:rPr>
          <w:rFonts w:hint="eastAsia"/>
          <w:color w:val="auto"/>
          <w:highlight w:val="none"/>
          <w:lang w:val="en-US" w:eastAsia="zh-CN"/>
        </w:rPr>
        <w:t>打造优质医疗健康体系</w:t>
      </w:r>
      <w:r>
        <w:rPr>
          <w:color w:val="auto"/>
          <w:highlight w:val="none"/>
        </w:rPr>
        <w:tab/>
      </w:r>
      <w:r>
        <w:rPr>
          <w:color w:val="auto"/>
          <w:highlight w:val="none"/>
        </w:rPr>
        <w:fldChar w:fldCharType="begin"/>
      </w:r>
      <w:r>
        <w:rPr>
          <w:color w:val="auto"/>
          <w:highlight w:val="none"/>
        </w:rPr>
        <w:instrText xml:space="preserve"> PAGEREF _Toc4833 \h </w:instrText>
      </w:r>
      <w:r>
        <w:rPr>
          <w:color w:val="auto"/>
          <w:highlight w:val="none"/>
        </w:rPr>
        <w:fldChar w:fldCharType="separate"/>
      </w:r>
      <w:r>
        <w:rPr>
          <w:color w:val="auto"/>
          <w:highlight w:val="none"/>
        </w:rPr>
        <w:t>101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_Toc18358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第六节 保障妇女儿童基本权益</w:t>
      </w:r>
      <w:r>
        <w:rPr>
          <w:color w:val="auto"/>
          <w:highlight w:val="none"/>
        </w:rPr>
        <w:tab/>
      </w:r>
      <w:r>
        <w:rPr>
          <w:color w:val="auto"/>
          <w:highlight w:val="none"/>
        </w:rPr>
        <w:fldChar w:fldCharType="begin"/>
      </w:r>
      <w:r>
        <w:rPr>
          <w:color w:val="auto"/>
          <w:highlight w:val="none"/>
        </w:rPr>
        <w:instrText xml:space="preserve"> PAGEREF _Toc18358 \h </w:instrText>
      </w:r>
      <w:r>
        <w:rPr>
          <w:color w:val="auto"/>
          <w:highlight w:val="none"/>
        </w:rPr>
        <w:fldChar w:fldCharType="separate"/>
      </w:r>
      <w:r>
        <w:rPr>
          <w:color w:val="auto"/>
          <w:highlight w:val="none"/>
        </w:rPr>
        <w:t>103</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_Toc15239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 xml:space="preserve">第七节 </w:t>
      </w:r>
      <w:r>
        <w:rPr>
          <w:rFonts w:hint="eastAsia" w:ascii="宋体" w:hAnsi="宋体"/>
          <w:color w:val="auto"/>
          <w:highlight w:val="none"/>
          <w:lang w:val="en-US" w:eastAsia="zh-CN"/>
        </w:rPr>
        <w:t>繁荣</w:t>
      </w:r>
      <w:r>
        <w:rPr>
          <w:rFonts w:hint="default" w:ascii="宋体" w:hAnsi="宋体"/>
          <w:color w:val="auto"/>
          <w:highlight w:val="none"/>
        </w:rPr>
        <w:t>文化和体育事业</w:t>
      </w:r>
      <w:r>
        <w:rPr>
          <w:color w:val="auto"/>
          <w:highlight w:val="none"/>
        </w:rPr>
        <w:tab/>
      </w:r>
      <w:r>
        <w:rPr>
          <w:color w:val="auto"/>
          <w:highlight w:val="none"/>
        </w:rPr>
        <w:fldChar w:fldCharType="begin"/>
      </w:r>
      <w:r>
        <w:rPr>
          <w:color w:val="auto"/>
          <w:highlight w:val="none"/>
        </w:rPr>
        <w:instrText xml:space="preserve"> PAGEREF _Toc15239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_Toc151 </w:instrText>
      </w:r>
      <w:r>
        <w:rPr>
          <w:rFonts w:hint="default" w:ascii="Times New Roman" w:hAnsi="Times New Roman" w:eastAsia="宋体" w:cs="Times New Roman"/>
          <w:color w:val="auto"/>
          <w:szCs w:val="28"/>
          <w:highlight w:val="none"/>
        </w:rPr>
        <w:fldChar w:fldCharType="separate"/>
      </w:r>
      <w:r>
        <w:rPr>
          <w:color w:val="auto"/>
          <w:highlight w:val="none"/>
        </w:rPr>
        <w:t>第十</w:t>
      </w:r>
      <w:r>
        <w:rPr>
          <w:rFonts w:hint="eastAsia"/>
          <w:color w:val="auto"/>
          <w:highlight w:val="none"/>
        </w:rPr>
        <w:t>二</w:t>
      </w:r>
      <w:r>
        <w:rPr>
          <w:color w:val="auto"/>
          <w:highlight w:val="none"/>
        </w:rPr>
        <w:t xml:space="preserve">章  </w:t>
      </w:r>
      <w:r>
        <w:rPr>
          <w:rFonts w:hint="eastAsia"/>
          <w:color w:val="auto"/>
          <w:highlight w:val="none"/>
        </w:rPr>
        <w:t>深化平安建设 提升</w:t>
      </w:r>
      <w:r>
        <w:rPr>
          <w:rFonts w:hint="eastAsia"/>
          <w:color w:val="auto"/>
          <w:highlight w:val="none"/>
          <w:lang w:val="en-US" w:eastAsia="zh-CN"/>
        </w:rPr>
        <w:t>市域</w:t>
      </w:r>
      <w:r>
        <w:rPr>
          <w:rFonts w:hint="eastAsia"/>
          <w:color w:val="auto"/>
          <w:highlight w:val="none"/>
        </w:rPr>
        <w:t>治理新能力</w:t>
      </w:r>
      <w:r>
        <w:rPr>
          <w:color w:val="auto"/>
          <w:highlight w:val="none"/>
        </w:rPr>
        <w:tab/>
      </w:r>
      <w:r>
        <w:rPr>
          <w:color w:val="auto"/>
          <w:highlight w:val="none"/>
        </w:rPr>
        <w:fldChar w:fldCharType="begin"/>
      </w:r>
      <w:r>
        <w:rPr>
          <w:color w:val="auto"/>
          <w:highlight w:val="none"/>
        </w:rPr>
        <w:instrText xml:space="preserve"> PAGEREF _Toc151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_Toc2448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全面加强党的建设</w:t>
      </w:r>
      <w:r>
        <w:rPr>
          <w:color w:val="auto"/>
          <w:highlight w:val="none"/>
        </w:rPr>
        <w:tab/>
      </w:r>
      <w:r>
        <w:rPr>
          <w:color w:val="auto"/>
          <w:highlight w:val="none"/>
        </w:rPr>
        <w:fldChar w:fldCharType="begin"/>
      </w:r>
      <w:r>
        <w:rPr>
          <w:color w:val="auto"/>
          <w:highlight w:val="none"/>
        </w:rPr>
        <w:instrText xml:space="preserve"> PAGEREF _Toc2448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_Toc31004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创新社会治理体系</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110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_Toc4671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促进法治坡头建设</w:t>
      </w:r>
      <w:r>
        <w:rPr>
          <w:color w:val="auto"/>
          <w:highlight w:val="none"/>
        </w:rPr>
        <w:tab/>
      </w:r>
      <w:r>
        <w:rPr>
          <w:color w:val="auto"/>
          <w:highlight w:val="none"/>
        </w:rPr>
        <w:fldChar w:fldCharType="begin"/>
      </w:r>
      <w:r>
        <w:rPr>
          <w:color w:val="auto"/>
          <w:highlight w:val="none"/>
        </w:rPr>
        <w:instrText xml:space="preserve"> PAGEREF _Toc4671 \h </w:instrText>
      </w:r>
      <w:r>
        <w:rPr>
          <w:color w:val="auto"/>
          <w:highlight w:val="none"/>
        </w:rPr>
        <w:fldChar w:fldCharType="separate"/>
      </w:r>
      <w:r>
        <w:rPr>
          <w:color w:val="auto"/>
          <w:highlight w:val="none"/>
        </w:rPr>
        <w:t>111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_Toc14830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 xml:space="preserve">第四节 </w:t>
      </w:r>
      <w:r>
        <w:rPr>
          <w:rFonts w:hint="eastAsia" w:ascii="宋体" w:hAnsi="宋体"/>
          <w:color w:val="auto"/>
          <w:highlight w:val="none"/>
          <w:lang w:val="en-US" w:eastAsia="zh-CN"/>
        </w:rPr>
        <w:t>推进平安</w:t>
      </w:r>
      <w:r>
        <w:rPr>
          <w:rFonts w:hint="eastAsia"/>
          <w:color w:val="auto"/>
          <w:highlight w:val="none"/>
          <w:lang w:val="en-US" w:eastAsia="zh-CN"/>
        </w:rPr>
        <w:t>创建工作</w:t>
      </w:r>
      <w:r>
        <w:rPr>
          <w:color w:val="auto"/>
          <w:highlight w:val="none"/>
        </w:rPr>
        <w:tab/>
      </w:r>
      <w:r>
        <w:rPr>
          <w:color w:val="auto"/>
          <w:highlight w:val="none"/>
        </w:rPr>
        <w:fldChar w:fldCharType="begin"/>
      </w:r>
      <w:r>
        <w:rPr>
          <w:color w:val="auto"/>
          <w:highlight w:val="none"/>
        </w:rPr>
        <w:instrText xml:space="preserve"> PAGEREF _Toc14830 \h </w:instrText>
      </w:r>
      <w:r>
        <w:rPr>
          <w:color w:val="auto"/>
          <w:highlight w:val="none"/>
        </w:rPr>
        <w:fldChar w:fldCharType="separate"/>
      </w:r>
      <w:r>
        <w:rPr>
          <w:color w:val="auto"/>
          <w:highlight w:val="none"/>
        </w:rPr>
        <w:t>113</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_Toc10824 </w:instrText>
      </w:r>
      <w:r>
        <w:rPr>
          <w:rFonts w:hint="default" w:ascii="Times New Roman" w:hAnsi="Times New Roman" w:eastAsia="宋体" w:cs="Times New Roman"/>
          <w:color w:val="auto"/>
          <w:szCs w:val="28"/>
          <w:highlight w:val="none"/>
        </w:rPr>
        <w:fldChar w:fldCharType="separate"/>
      </w:r>
      <w:r>
        <w:rPr>
          <w:rFonts w:hint="eastAsia"/>
          <w:color w:val="auto"/>
          <w:highlight w:val="none"/>
          <w:lang w:val="en-US" w:eastAsia="zh-CN"/>
        </w:rPr>
        <w:t>第十三章 构筑安全格局 防范化解重大风险</w:t>
      </w:r>
      <w:r>
        <w:rPr>
          <w:color w:val="auto"/>
          <w:highlight w:val="none"/>
        </w:rPr>
        <w:tab/>
      </w:r>
      <w:r>
        <w:rPr>
          <w:color w:val="auto"/>
          <w:highlight w:val="none"/>
        </w:rPr>
        <w:fldChar w:fldCharType="begin"/>
      </w:r>
      <w:r>
        <w:rPr>
          <w:color w:val="auto"/>
          <w:highlight w:val="none"/>
        </w:rPr>
        <w:instrText xml:space="preserve"> PAGEREF _Toc10824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_Toc8437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rPr>
        <w:t xml:space="preserve">第一节 </w:t>
      </w:r>
      <w:r>
        <w:rPr>
          <w:rFonts w:hint="eastAsia" w:ascii="宋体" w:hAnsi="宋体"/>
          <w:color w:val="auto"/>
          <w:highlight w:val="none"/>
          <w:lang w:val="en-US" w:eastAsia="zh-CN"/>
        </w:rPr>
        <w:t>加强</w:t>
      </w:r>
      <w:r>
        <w:rPr>
          <w:rFonts w:hint="eastAsia" w:ascii="宋体" w:hAnsi="宋体"/>
          <w:color w:val="auto"/>
          <w:highlight w:val="none"/>
        </w:rPr>
        <w:t>国家</w:t>
      </w:r>
      <w:r>
        <w:rPr>
          <w:rFonts w:hint="eastAsia" w:ascii="宋体" w:hAnsi="宋体"/>
          <w:color w:val="auto"/>
          <w:highlight w:val="none"/>
          <w:lang w:val="en-US" w:eastAsia="zh-CN"/>
        </w:rPr>
        <w:t>安全体系建设</w:t>
      </w:r>
      <w:r>
        <w:rPr>
          <w:color w:val="auto"/>
          <w:highlight w:val="none"/>
        </w:rPr>
        <w:tab/>
      </w:r>
      <w:r>
        <w:rPr>
          <w:color w:val="auto"/>
          <w:highlight w:val="none"/>
        </w:rPr>
        <w:fldChar w:fldCharType="begin"/>
      </w:r>
      <w:r>
        <w:rPr>
          <w:color w:val="auto"/>
          <w:highlight w:val="none"/>
        </w:rPr>
        <w:instrText xml:space="preserve"> PAGEREF _Toc8437 \h </w:instrText>
      </w:r>
      <w:r>
        <w:rPr>
          <w:color w:val="auto"/>
          <w:highlight w:val="none"/>
        </w:rPr>
        <w:fldChar w:fldCharType="separate"/>
      </w:r>
      <w:r>
        <w:rPr>
          <w:color w:val="auto"/>
          <w:highlight w:val="none"/>
        </w:rPr>
        <w:t>116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_Toc11243 </w:instrText>
      </w:r>
      <w:r>
        <w:rPr>
          <w:rFonts w:hint="default" w:ascii="Times New Roman" w:hAnsi="Times New Roman" w:eastAsia="宋体" w:cs="Times New Roman"/>
          <w:color w:val="auto"/>
          <w:szCs w:val="28"/>
          <w:highlight w:val="none"/>
        </w:rPr>
        <w:fldChar w:fldCharType="separate"/>
      </w:r>
      <w:r>
        <w:rPr>
          <w:rFonts w:hint="eastAsia"/>
          <w:color w:val="auto"/>
          <w:highlight w:val="none"/>
        </w:rPr>
        <w:t>第二节 筑牢经济安全底线</w:t>
      </w:r>
      <w:r>
        <w:rPr>
          <w:color w:val="auto"/>
          <w:highlight w:val="none"/>
        </w:rPr>
        <w:tab/>
      </w:r>
      <w:r>
        <w:rPr>
          <w:color w:val="auto"/>
          <w:highlight w:val="none"/>
        </w:rPr>
        <w:fldChar w:fldCharType="begin"/>
      </w:r>
      <w:r>
        <w:rPr>
          <w:color w:val="auto"/>
          <w:highlight w:val="none"/>
        </w:rPr>
        <w:instrText xml:space="preserve"> PAGEREF _Toc11243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_Toc17146 </w:instrText>
      </w:r>
      <w:r>
        <w:rPr>
          <w:rFonts w:hint="default" w:ascii="Times New Roman" w:hAnsi="Times New Roman" w:eastAsia="宋体" w:cs="Times New Roman"/>
          <w:color w:val="auto"/>
          <w:szCs w:val="28"/>
          <w:highlight w:val="none"/>
        </w:rPr>
        <w:fldChar w:fldCharType="separate"/>
      </w:r>
      <w:r>
        <w:rPr>
          <w:rFonts w:hint="eastAsia" w:ascii="宋体" w:hAnsi="宋体"/>
          <w:color w:val="auto"/>
          <w:highlight w:val="none"/>
        </w:rPr>
        <w:t>第三节 保障社会公共安全</w:t>
      </w:r>
      <w:r>
        <w:rPr>
          <w:color w:val="auto"/>
          <w:highlight w:val="none"/>
        </w:rPr>
        <w:tab/>
      </w:r>
      <w:r>
        <w:rPr>
          <w:color w:val="auto"/>
          <w:highlight w:val="none"/>
        </w:rPr>
        <w:fldChar w:fldCharType="begin"/>
      </w:r>
      <w:r>
        <w:rPr>
          <w:color w:val="auto"/>
          <w:highlight w:val="none"/>
        </w:rPr>
        <w:instrText xml:space="preserve"> PAGEREF _Toc17146 \h </w:instrText>
      </w:r>
      <w:r>
        <w:rPr>
          <w:color w:val="auto"/>
          <w:highlight w:val="none"/>
        </w:rPr>
        <w:fldChar w:fldCharType="separate"/>
      </w:r>
      <w:r>
        <w:rPr>
          <w:color w:val="auto"/>
          <w:highlight w:val="none"/>
        </w:rPr>
        <w:t>118</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_Toc4805 </w:instrText>
      </w:r>
      <w:r>
        <w:rPr>
          <w:rFonts w:hint="default" w:ascii="Times New Roman" w:hAnsi="Times New Roman" w:eastAsia="宋体" w:cs="Times New Roman"/>
          <w:color w:val="auto"/>
          <w:szCs w:val="28"/>
          <w:highlight w:val="none"/>
        </w:rPr>
        <w:fldChar w:fldCharType="separate"/>
      </w:r>
      <w:r>
        <w:rPr>
          <w:rFonts w:hint="eastAsia"/>
          <w:color w:val="auto"/>
          <w:highlight w:val="none"/>
          <w:lang w:val="en-US" w:eastAsia="zh-CN"/>
        </w:rPr>
        <w:t>第</w:t>
      </w:r>
      <w:r>
        <w:rPr>
          <w:color w:val="auto"/>
          <w:highlight w:val="none"/>
        </w:rPr>
        <w:t>十</w:t>
      </w:r>
      <w:r>
        <w:rPr>
          <w:rFonts w:hint="eastAsia"/>
          <w:color w:val="auto"/>
          <w:highlight w:val="none"/>
          <w:lang w:val="en-US" w:eastAsia="zh-CN"/>
        </w:rPr>
        <w:t>四</w:t>
      </w:r>
      <w:r>
        <w:rPr>
          <w:color w:val="auto"/>
          <w:highlight w:val="none"/>
        </w:rPr>
        <w:t xml:space="preserve">章  </w:t>
      </w:r>
      <w:r>
        <w:rPr>
          <w:rFonts w:hint="eastAsia"/>
          <w:color w:val="auto"/>
          <w:highlight w:val="none"/>
        </w:rPr>
        <w:t>完善规划保障 聚焦纲要实施新要求</w:t>
      </w:r>
      <w:r>
        <w:rPr>
          <w:color w:val="auto"/>
          <w:highlight w:val="none"/>
        </w:rPr>
        <w:tab/>
      </w:r>
      <w:r>
        <w:rPr>
          <w:color w:val="auto"/>
          <w:highlight w:val="none"/>
        </w:rPr>
        <w:fldChar w:fldCharType="begin"/>
      </w:r>
      <w:r>
        <w:rPr>
          <w:color w:val="auto"/>
          <w:highlight w:val="none"/>
        </w:rPr>
        <w:instrText xml:space="preserve"> PAGEREF _Toc4805 \h </w:instrText>
      </w:r>
      <w:r>
        <w:rPr>
          <w:color w:val="auto"/>
          <w:highlight w:val="none"/>
        </w:rPr>
        <w:fldChar w:fldCharType="separate"/>
      </w:r>
      <w:r>
        <w:rPr>
          <w:color w:val="auto"/>
          <w:highlight w:val="none"/>
        </w:rPr>
        <w:t>120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_Toc5650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第一节 加强组织保障</w:t>
      </w:r>
      <w:r>
        <w:rPr>
          <w:color w:val="auto"/>
          <w:highlight w:val="none"/>
        </w:rPr>
        <w:tab/>
      </w:r>
      <w:r>
        <w:rPr>
          <w:color w:val="auto"/>
          <w:highlight w:val="none"/>
        </w:rPr>
        <w:fldChar w:fldCharType="begin"/>
      </w:r>
      <w:r>
        <w:rPr>
          <w:color w:val="auto"/>
          <w:highlight w:val="none"/>
        </w:rPr>
        <w:instrText xml:space="preserve"> PAGEREF _Toc5650 \h </w:instrText>
      </w:r>
      <w:r>
        <w:rPr>
          <w:color w:val="auto"/>
          <w:highlight w:val="none"/>
        </w:rPr>
        <w:fldChar w:fldCharType="separate"/>
      </w:r>
      <w:r>
        <w:rPr>
          <w:color w:val="auto"/>
          <w:highlight w:val="none"/>
        </w:rPr>
        <w:t>120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_Toc21650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第二节 统筹要素保障</w:t>
      </w:r>
      <w:r>
        <w:rPr>
          <w:color w:val="auto"/>
          <w:highlight w:val="none"/>
        </w:rPr>
        <w:tab/>
      </w:r>
      <w:r>
        <w:rPr>
          <w:color w:val="auto"/>
          <w:highlight w:val="none"/>
        </w:rPr>
        <w:fldChar w:fldCharType="begin"/>
      </w:r>
      <w:r>
        <w:rPr>
          <w:color w:val="auto"/>
          <w:highlight w:val="none"/>
        </w:rPr>
        <w:instrText xml:space="preserve"> PAGEREF _Toc21650 \h </w:instrText>
      </w:r>
      <w:r>
        <w:rPr>
          <w:color w:val="auto"/>
          <w:highlight w:val="none"/>
        </w:rPr>
        <w:fldChar w:fldCharType="separate"/>
      </w:r>
      <w:r>
        <w:rPr>
          <w:color w:val="auto"/>
          <w:highlight w:val="none"/>
        </w:rPr>
        <w:t>120</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_Toc7818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第三节 强化项目支撑</w:t>
      </w:r>
      <w:r>
        <w:rPr>
          <w:color w:val="auto"/>
          <w:highlight w:val="none"/>
        </w:rPr>
        <w:tab/>
      </w:r>
      <w:r>
        <w:rPr>
          <w:color w:val="auto"/>
          <w:highlight w:val="none"/>
        </w:rPr>
        <w:fldChar w:fldCharType="begin"/>
      </w:r>
      <w:r>
        <w:rPr>
          <w:color w:val="auto"/>
          <w:highlight w:val="none"/>
        </w:rPr>
        <w:instrText xml:space="preserve"> PAGEREF _Toc7818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_Toc21546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第四节 完善规划体系</w:t>
      </w:r>
      <w:r>
        <w:rPr>
          <w:color w:val="auto"/>
          <w:highlight w:val="none"/>
        </w:rPr>
        <w:tab/>
      </w:r>
      <w:r>
        <w:rPr>
          <w:color w:val="auto"/>
          <w:highlight w:val="none"/>
        </w:rPr>
        <w:fldChar w:fldCharType="begin"/>
      </w:r>
      <w:r>
        <w:rPr>
          <w:color w:val="auto"/>
          <w:highlight w:val="none"/>
        </w:rPr>
        <w:instrText xml:space="preserve"> PAGEREF _Toc21546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2"/>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_Toc19684 </w:instrText>
      </w:r>
      <w:r>
        <w:rPr>
          <w:rFonts w:hint="default" w:ascii="Times New Roman" w:hAnsi="Times New Roman" w:eastAsia="宋体" w:cs="Times New Roman"/>
          <w:color w:val="auto"/>
          <w:szCs w:val="28"/>
          <w:highlight w:val="none"/>
        </w:rPr>
        <w:fldChar w:fldCharType="separate"/>
      </w:r>
      <w:r>
        <w:rPr>
          <w:rFonts w:hint="default" w:ascii="宋体" w:hAnsi="宋体"/>
          <w:color w:val="auto"/>
          <w:highlight w:val="none"/>
        </w:rPr>
        <w:t>第五节 增强监督考评</w:t>
      </w:r>
      <w:r>
        <w:rPr>
          <w:color w:val="auto"/>
          <w:highlight w:val="none"/>
        </w:rPr>
        <w:tab/>
      </w:r>
      <w:r>
        <w:rPr>
          <w:color w:val="auto"/>
          <w:highlight w:val="none"/>
        </w:rPr>
        <w:fldChar w:fldCharType="begin"/>
      </w:r>
      <w:r>
        <w:rPr>
          <w:color w:val="auto"/>
          <w:highlight w:val="none"/>
        </w:rPr>
        <w:instrText xml:space="preserve"> PAGEREF _Toc19684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pStyle w:val="10"/>
        <w:tabs>
          <w:tab w:val="right" w:leader="dot" w:pos="8306"/>
        </w:tabs>
        <w:rPr>
          <w:color w:val="auto"/>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HYPERLINK \l _Toc22871 </w:instrText>
      </w:r>
      <w:r>
        <w:rPr>
          <w:rFonts w:hint="default" w:ascii="Times New Roman" w:hAnsi="Times New Roman" w:eastAsia="宋体" w:cs="Times New Roman"/>
          <w:color w:val="auto"/>
          <w:szCs w:val="28"/>
          <w:highlight w:val="none"/>
        </w:rPr>
        <w:fldChar w:fldCharType="separate"/>
      </w:r>
      <w:r>
        <w:rPr>
          <w:bCs/>
          <w:color w:val="auto"/>
          <w:highlight w:val="none"/>
        </w:rPr>
        <w:t>附件一</w:t>
      </w:r>
      <w:r>
        <w:rPr>
          <w:rFonts w:hint="eastAsia"/>
          <w:bCs/>
          <w:color w:val="auto"/>
          <w:highlight w:val="none"/>
          <w:lang w:eastAsia="zh-CN"/>
        </w:rPr>
        <w:t>：</w:t>
      </w:r>
      <w:r>
        <w:rPr>
          <w:rFonts w:hint="eastAsia" w:ascii="宋体" w:hAnsi="宋体" w:eastAsia="宋体" w:cs="宋体"/>
          <w:b/>
          <w:bCs/>
          <w:color w:val="auto"/>
          <w:highlight w:val="none"/>
          <w:lang w:val="en-US" w:eastAsia="zh-CN"/>
        </w:rPr>
        <w:t>“十四五”规划重点项目表</w:t>
      </w:r>
      <w:r>
        <w:rPr>
          <w:color w:val="auto"/>
          <w:highlight w:val="none"/>
        </w:rPr>
        <w:tab/>
      </w:r>
      <w:r>
        <w:rPr>
          <w:color w:val="auto"/>
          <w:highlight w:val="none"/>
        </w:rPr>
        <w:fldChar w:fldCharType="begin"/>
      </w:r>
      <w:r>
        <w:rPr>
          <w:color w:val="auto"/>
          <w:highlight w:val="none"/>
        </w:rPr>
        <w:instrText xml:space="preserve"> PAGEREF _Toc22871 \h </w:instrText>
      </w:r>
      <w:r>
        <w:rPr>
          <w:color w:val="auto"/>
          <w:highlight w:val="none"/>
        </w:rPr>
        <w:fldChar w:fldCharType="separate"/>
      </w:r>
      <w:r>
        <w:rPr>
          <w:color w:val="auto"/>
          <w:highlight w:val="none"/>
        </w:rPr>
        <w:t>126</w:t>
      </w:r>
      <w:r>
        <w:rPr>
          <w:color w:val="auto"/>
          <w:highlight w:val="none"/>
        </w:rPr>
        <w:fldChar w:fldCharType="end"/>
      </w:r>
      <w:r>
        <w:rPr>
          <w:rFonts w:hint="default" w:ascii="Times New Roman" w:hAnsi="Times New Roman" w:eastAsia="宋体" w:cs="Times New Roman"/>
          <w:color w:val="auto"/>
          <w:szCs w:val="28"/>
          <w:highlight w:val="none"/>
        </w:rPr>
        <w:fldChar w:fldCharType="end"/>
      </w:r>
    </w:p>
    <w:p>
      <w:pPr>
        <w:ind w:firstLine="640"/>
        <w:rPr>
          <w:color w:val="auto"/>
          <w:highlight w:val="none"/>
        </w:rPr>
      </w:pPr>
      <w:r>
        <w:rPr>
          <w:rFonts w:hint="default" w:ascii="Times New Roman" w:hAnsi="Times New Roman" w:eastAsia="宋体" w:cs="Times New Roman"/>
          <w:color w:val="auto"/>
          <w:szCs w:val="28"/>
          <w:highlight w:val="none"/>
        </w:rPr>
        <w:fldChar w:fldCharType="end"/>
      </w:r>
    </w:p>
    <w:p>
      <w:pPr>
        <w:ind w:firstLine="640"/>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 w:linePitch="312" w:charSpace="0"/>
        </w:sectPr>
      </w:pPr>
    </w:p>
    <w:p>
      <w:pPr>
        <w:pStyle w:val="3"/>
        <w:spacing w:before="156" w:after="156"/>
        <w:rPr>
          <w:rFonts w:hint="eastAsia" w:ascii="黑体" w:hAnsi="黑体" w:eastAsia="黑体" w:cs="黑体"/>
          <w:b w:val="0"/>
          <w:bCs/>
          <w:color w:val="auto"/>
          <w:highlight w:val="none"/>
        </w:rPr>
      </w:pPr>
      <w:bookmarkStart w:id="0" w:name="_Toc26977"/>
      <w:bookmarkStart w:id="1" w:name="_Toc53003151"/>
      <w:bookmarkStart w:id="2" w:name="_Toc31019"/>
      <w:bookmarkStart w:id="3" w:name="_Toc28543"/>
      <w:bookmarkStart w:id="4" w:name="_Toc4842"/>
      <w:bookmarkStart w:id="5" w:name="_Toc8106"/>
      <w:bookmarkStart w:id="6" w:name="_Toc22445"/>
      <w:bookmarkStart w:id="7" w:name="_Toc5250"/>
      <w:r>
        <w:rPr>
          <w:rFonts w:hint="eastAsia" w:ascii="黑体" w:hAnsi="黑体" w:eastAsia="黑体" w:cs="黑体"/>
          <w:b w:val="0"/>
          <w:bCs/>
          <w:color w:val="auto"/>
          <w:highlight w:val="none"/>
        </w:rPr>
        <w:t>前   言</w:t>
      </w:r>
      <w:bookmarkEnd w:id="0"/>
      <w:bookmarkEnd w:id="1"/>
    </w:p>
    <w:p>
      <w:pPr>
        <w:ind w:firstLine="640"/>
        <w:rPr>
          <w:color w:val="auto"/>
          <w:w w:val="100"/>
          <w:sz w:val="32"/>
          <w:highlight w:val="none"/>
        </w:rPr>
      </w:pPr>
      <w:r>
        <w:rPr>
          <w:color w:val="auto"/>
          <w:w w:val="100"/>
          <w:sz w:val="32"/>
          <w:highlight w:val="none"/>
        </w:rPr>
        <w:t>坡头区在湛江市辖区中面积最大</w:t>
      </w:r>
      <w:r>
        <w:rPr>
          <w:rFonts w:hint="eastAsia"/>
          <w:color w:val="auto"/>
          <w:w w:val="100"/>
          <w:sz w:val="32"/>
          <w:highlight w:val="none"/>
          <w:lang w:eastAsia="zh-CN"/>
        </w:rPr>
        <w:t>、</w:t>
      </w:r>
      <w:r>
        <w:rPr>
          <w:rFonts w:hint="eastAsia"/>
          <w:color w:val="auto"/>
          <w:w w:val="100"/>
          <w:sz w:val="32"/>
          <w:highlight w:val="none"/>
          <w:lang w:val="en-US" w:eastAsia="zh-CN"/>
        </w:rPr>
        <w:t>海岸线最长，</w:t>
      </w:r>
      <w:r>
        <w:rPr>
          <w:rFonts w:hint="eastAsia"/>
          <w:color w:val="auto"/>
          <w:w w:val="100"/>
          <w:sz w:val="32"/>
          <w:highlight w:val="none"/>
        </w:rPr>
        <w:t>自然资源禀赋优越，</w:t>
      </w:r>
      <w:r>
        <w:rPr>
          <w:color w:val="auto"/>
          <w:w w:val="100"/>
          <w:sz w:val="32"/>
          <w:highlight w:val="none"/>
        </w:rPr>
        <w:t>地理环境得天独厚</w:t>
      </w:r>
      <w:r>
        <w:rPr>
          <w:rFonts w:hint="eastAsia"/>
          <w:color w:val="auto"/>
          <w:w w:val="100"/>
          <w:sz w:val="32"/>
          <w:highlight w:val="none"/>
        </w:rPr>
        <w:t>，</w:t>
      </w:r>
      <w:r>
        <w:rPr>
          <w:rFonts w:hint="eastAsia"/>
          <w:color w:val="auto"/>
          <w:w w:val="100"/>
          <w:sz w:val="32"/>
          <w:highlight w:val="none"/>
          <w:lang w:val="en-US" w:eastAsia="zh-CN"/>
        </w:rPr>
        <w:t>是</w:t>
      </w:r>
      <w:r>
        <w:rPr>
          <w:color w:val="auto"/>
          <w:w w:val="100"/>
          <w:sz w:val="32"/>
          <w:highlight w:val="none"/>
        </w:rPr>
        <w:t>湛江</w:t>
      </w:r>
      <w:r>
        <w:rPr>
          <w:rFonts w:hint="eastAsia"/>
          <w:color w:val="auto"/>
          <w:w w:val="100"/>
          <w:sz w:val="32"/>
          <w:highlight w:val="none"/>
          <w:lang w:val="en-US" w:eastAsia="zh-CN"/>
        </w:rPr>
        <w:t>城市</w:t>
      </w:r>
      <w:r>
        <w:rPr>
          <w:color w:val="auto"/>
          <w:w w:val="100"/>
          <w:sz w:val="32"/>
          <w:highlight w:val="none"/>
        </w:rPr>
        <w:t>扩容提质的主战场。</w:t>
      </w:r>
      <w:r>
        <w:rPr>
          <w:rFonts w:hint="eastAsia"/>
          <w:color w:val="auto"/>
          <w:w w:val="100"/>
          <w:sz w:val="32"/>
          <w:highlight w:val="none"/>
          <w:lang w:eastAsia="zh-CN"/>
        </w:rPr>
        <w:t>“</w:t>
      </w:r>
      <w:r>
        <w:rPr>
          <w:rFonts w:hint="eastAsia"/>
          <w:color w:val="auto"/>
          <w:w w:val="100"/>
          <w:sz w:val="32"/>
          <w:highlight w:val="none"/>
          <w:lang w:val="en-US" w:eastAsia="zh-CN"/>
        </w:rPr>
        <w:t>十三五</w:t>
      </w:r>
      <w:r>
        <w:rPr>
          <w:rFonts w:hint="eastAsia"/>
          <w:color w:val="auto"/>
          <w:w w:val="100"/>
          <w:sz w:val="32"/>
          <w:highlight w:val="none"/>
          <w:lang w:eastAsia="zh-CN"/>
        </w:rPr>
        <w:t>”</w:t>
      </w:r>
      <w:r>
        <w:rPr>
          <w:rFonts w:hint="eastAsia"/>
          <w:color w:val="auto"/>
          <w:w w:val="100"/>
          <w:sz w:val="32"/>
          <w:highlight w:val="none"/>
          <w:lang w:val="en-US" w:eastAsia="zh-CN"/>
        </w:rPr>
        <w:t>期间，</w:t>
      </w:r>
      <w:r>
        <w:rPr>
          <w:color w:val="auto"/>
          <w:w w:val="100"/>
          <w:sz w:val="32"/>
          <w:highlight w:val="none"/>
        </w:rPr>
        <w:t>全区以</w:t>
      </w:r>
      <w:r>
        <w:rPr>
          <w:rFonts w:hint="eastAsia" w:ascii="仿宋" w:hAnsi="仿宋" w:cs="仿宋"/>
          <w:color w:val="auto"/>
          <w:w w:val="100"/>
          <w:sz w:val="32"/>
          <w:highlight w:val="none"/>
        </w:rPr>
        <w:t>“四区融合”</w:t>
      </w:r>
      <w:r>
        <w:rPr>
          <w:color w:val="auto"/>
          <w:w w:val="100"/>
          <w:sz w:val="32"/>
          <w:highlight w:val="none"/>
        </w:rPr>
        <w:t>推进提质发展，海东新区成为广东省地级市城区扩容提质</w:t>
      </w:r>
      <w:r>
        <w:rPr>
          <w:rFonts w:hint="eastAsia"/>
          <w:color w:val="auto"/>
          <w:w w:val="100"/>
          <w:sz w:val="32"/>
          <w:highlight w:val="none"/>
        </w:rPr>
        <w:t>十二</w:t>
      </w:r>
      <w:r>
        <w:rPr>
          <w:color w:val="auto"/>
          <w:w w:val="100"/>
          <w:sz w:val="32"/>
          <w:highlight w:val="none"/>
        </w:rPr>
        <w:t>个重点建设新区之一，湛江国家高新技术开发区</w:t>
      </w:r>
      <w:r>
        <w:rPr>
          <w:rFonts w:hint="eastAsia"/>
          <w:color w:val="auto"/>
          <w:w w:val="100"/>
          <w:sz w:val="32"/>
          <w:highlight w:val="none"/>
        </w:rPr>
        <w:t>海东园</w:t>
      </w:r>
      <w:r>
        <w:rPr>
          <w:color w:val="auto"/>
          <w:w w:val="100"/>
          <w:sz w:val="32"/>
          <w:highlight w:val="none"/>
        </w:rPr>
        <w:t>区加快建设</w:t>
      </w:r>
      <w:r>
        <w:rPr>
          <w:rFonts w:hint="eastAsia"/>
          <w:color w:val="auto"/>
          <w:w w:val="100"/>
          <w:sz w:val="32"/>
          <w:highlight w:val="none"/>
          <w:lang w:eastAsia="zh-CN"/>
        </w:rPr>
        <w:t>。</w:t>
      </w:r>
    </w:p>
    <w:p>
      <w:pPr>
        <w:ind w:firstLine="640"/>
        <w:rPr>
          <w:color w:val="auto"/>
          <w:highlight w:val="none"/>
        </w:rPr>
      </w:pPr>
      <w:r>
        <w:rPr>
          <w:rFonts w:hint="eastAsia"/>
          <w:color w:val="auto"/>
          <w:highlight w:val="none"/>
        </w:rPr>
        <w:t>“</w:t>
      </w:r>
      <w:r>
        <w:rPr>
          <w:color w:val="auto"/>
          <w:highlight w:val="none"/>
        </w:rPr>
        <w:t>十四五</w:t>
      </w:r>
      <w:r>
        <w:rPr>
          <w:rFonts w:hint="eastAsia"/>
          <w:color w:val="auto"/>
          <w:highlight w:val="none"/>
        </w:rPr>
        <w:t>”</w:t>
      </w:r>
      <w:r>
        <w:rPr>
          <w:color w:val="auto"/>
          <w:highlight w:val="none"/>
        </w:rPr>
        <w:t>时期是</w:t>
      </w:r>
      <w:r>
        <w:rPr>
          <w:rFonts w:hint="eastAsia"/>
          <w:color w:val="auto"/>
          <w:highlight w:val="none"/>
        </w:rPr>
        <w:t>我国开启全面建设社会主义现代化国家新征程、向第二个百年奋斗目标进军的第一个五年</w:t>
      </w:r>
      <w:r>
        <w:rPr>
          <w:color w:val="auto"/>
          <w:highlight w:val="none"/>
        </w:rPr>
        <w:t>，</w:t>
      </w:r>
      <w:r>
        <w:rPr>
          <w:rFonts w:hint="eastAsia"/>
          <w:color w:val="auto"/>
          <w:highlight w:val="none"/>
          <w:lang w:val="en-US" w:eastAsia="zh-CN"/>
        </w:rPr>
        <w:t>是我省</w:t>
      </w:r>
      <w:r>
        <w:rPr>
          <w:rFonts w:hint="eastAsia"/>
          <w:color w:val="auto"/>
          <w:highlight w:val="none"/>
        </w:rPr>
        <w:t>“粤港澳大湾区”“深圳中国特色社会主义先行示范区”等国家战略以及“一核一带一区”等区域发展战略深入推进</w:t>
      </w:r>
      <w:r>
        <w:rPr>
          <w:rFonts w:hint="eastAsia"/>
          <w:color w:val="auto"/>
          <w:highlight w:val="none"/>
          <w:lang w:val="en-US" w:eastAsia="zh-CN"/>
        </w:rPr>
        <w:t>期</w:t>
      </w:r>
      <w:r>
        <w:rPr>
          <w:rFonts w:hint="eastAsia"/>
          <w:color w:val="auto"/>
          <w:highlight w:val="none"/>
        </w:rPr>
        <w:t>，</w:t>
      </w:r>
      <w:r>
        <w:rPr>
          <w:color w:val="auto"/>
          <w:highlight w:val="none"/>
        </w:rPr>
        <w:t>也是湛江</w:t>
      </w:r>
      <w:r>
        <w:rPr>
          <w:rFonts w:hint="eastAsia"/>
          <w:color w:val="auto"/>
          <w:highlight w:val="none"/>
          <w:lang w:val="en-US" w:eastAsia="zh-CN"/>
        </w:rPr>
        <w:t>全力</w:t>
      </w:r>
      <w:r>
        <w:rPr>
          <w:color w:val="auto"/>
          <w:highlight w:val="none"/>
        </w:rPr>
        <w:t>建设省域副中心城市、加快打造现代化沿海经济带重要发展极的关键时期。科学编制《湛江坡头区国民经济和社会发展第十四个五年规划</w:t>
      </w:r>
      <w:r>
        <w:rPr>
          <w:rFonts w:hint="eastAsia"/>
          <w:color w:val="auto"/>
          <w:highlight w:val="none"/>
        </w:rPr>
        <w:t>和二〇</w:t>
      </w:r>
      <w:r>
        <w:rPr>
          <w:rFonts w:hint="eastAsia"/>
          <w:color w:val="auto"/>
          <w:szCs w:val="22"/>
          <w:highlight w:val="none"/>
        </w:rPr>
        <w:t>三五年远景目</w:t>
      </w:r>
      <w:r>
        <w:rPr>
          <w:rFonts w:hint="eastAsia"/>
          <w:color w:val="auto"/>
          <w:highlight w:val="none"/>
        </w:rPr>
        <w:t>标</w:t>
      </w:r>
      <w:r>
        <w:rPr>
          <w:color w:val="auto"/>
          <w:highlight w:val="none"/>
        </w:rPr>
        <w:t>纲要》（简称《规划纲要》），对推动坡头区全面深化改革开放、实现高质量发展，确保实现第二个百年目标开好局、起好步，奋力开创经济社会发展新局面意义重大。</w:t>
      </w:r>
    </w:p>
    <w:p>
      <w:pPr>
        <w:ind w:firstLine="640"/>
        <w:rPr>
          <w:color w:val="auto"/>
          <w:highlight w:val="none"/>
        </w:rPr>
      </w:pPr>
      <w:r>
        <w:rPr>
          <w:color w:val="auto"/>
          <w:highlight w:val="none"/>
        </w:rPr>
        <w:t>本纲要</w:t>
      </w:r>
      <w:r>
        <w:rPr>
          <w:rFonts w:hint="eastAsia"/>
          <w:color w:val="auto"/>
          <w:highlight w:val="none"/>
        </w:rPr>
        <w:t>根据《中共湛江</w:t>
      </w:r>
      <w:r>
        <w:rPr>
          <w:rFonts w:hint="eastAsia"/>
          <w:color w:val="auto"/>
          <w:highlight w:val="none"/>
          <w:lang w:val="en-US" w:eastAsia="zh-CN"/>
        </w:rPr>
        <w:t>市</w:t>
      </w:r>
      <w:r>
        <w:rPr>
          <w:rFonts w:hint="eastAsia"/>
          <w:color w:val="auto"/>
          <w:highlight w:val="none"/>
        </w:rPr>
        <w:t>坡头区委关于制定坡头区国民经济和社会发展第十四个五年规划和二〇三五年远景目标的建议》编制</w:t>
      </w:r>
      <w:r>
        <w:rPr>
          <w:rFonts w:hint="eastAsia"/>
          <w:color w:val="auto"/>
          <w:highlight w:val="none"/>
          <w:lang w:eastAsia="zh-CN"/>
        </w:rPr>
        <w:t>，</w:t>
      </w:r>
      <w:r>
        <w:rPr>
          <w:rFonts w:hint="eastAsia"/>
          <w:color w:val="auto"/>
          <w:highlight w:val="none"/>
          <w:lang w:val="en-US" w:eastAsia="zh-CN"/>
        </w:rPr>
        <w:t>立足湛江城市提质扩容主战场和高新产业发展主阵地的总体定位，</w:t>
      </w:r>
      <w:r>
        <w:rPr>
          <w:color w:val="auto"/>
          <w:highlight w:val="none"/>
        </w:rPr>
        <w:t>主要明确</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时期经济社会发展的指导思想、发展目标、发展战略</w:t>
      </w:r>
      <w:r>
        <w:rPr>
          <w:rFonts w:hint="eastAsia"/>
          <w:color w:val="auto"/>
          <w:highlight w:val="none"/>
          <w:lang w:val="en-US" w:eastAsia="zh-CN"/>
        </w:rPr>
        <w:t>和</w:t>
      </w:r>
      <w:r>
        <w:rPr>
          <w:color w:val="auto"/>
          <w:highlight w:val="none"/>
        </w:rPr>
        <w:t>重大任务，是全区未来五年</w:t>
      </w:r>
      <w:r>
        <w:rPr>
          <w:rFonts w:hint="eastAsia"/>
          <w:color w:val="auto"/>
          <w:highlight w:val="none"/>
          <w:lang w:val="en-US" w:eastAsia="zh-CN"/>
        </w:rPr>
        <w:t>经济社会</w:t>
      </w:r>
      <w:r>
        <w:rPr>
          <w:color w:val="auto"/>
          <w:highlight w:val="none"/>
        </w:rPr>
        <w:t>发展的纲领</w:t>
      </w:r>
      <w:r>
        <w:rPr>
          <w:rFonts w:hint="eastAsia"/>
          <w:color w:val="auto"/>
          <w:highlight w:val="none"/>
          <w:lang w:val="en-US" w:eastAsia="zh-CN"/>
        </w:rPr>
        <w:t>性文件</w:t>
      </w:r>
      <w:r>
        <w:rPr>
          <w:color w:val="auto"/>
          <w:highlight w:val="none"/>
        </w:rPr>
        <w:t>。</w:t>
      </w:r>
    </w:p>
    <w:p>
      <w:pPr>
        <w:ind w:left="0" w:leftChars="0" w:firstLine="0" w:firstLineChars="0"/>
        <w:rPr>
          <w:color w:val="auto"/>
          <w:highlight w:val="none"/>
        </w:rPr>
        <w:sectPr>
          <w:footerReference r:id="rId11" w:type="default"/>
          <w:pgSz w:w="11906" w:h="16838"/>
          <w:pgMar w:top="1440" w:right="1800" w:bottom="1440" w:left="1800" w:header="851" w:footer="992" w:gutter="0"/>
          <w:pgNumType w:start="1"/>
          <w:cols w:space="720" w:num="1"/>
          <w:docGrid w:type="lines" w:linePitch="312" w:charSpace="0"/>
        </w:sectPr>
      </w:pPr>
    </w:p>
    <w:p>
      <w:pPr>
        <w:pStyle w:val="3"/>
        <w:spacing w:before="217" w:after="217"/>
        <w:rPr>
          <w:color w:val="auto"/>
          <w:highlight w:val="none"/>
        </w:rPr>
      </w:pPr>
      <w:bookmarkStart w:id="8" w:name="_Toc53003152"/>
      <w:bookmarkStart w:id="9" w:name="_Toc3142"/>
      <w:r>
        <w:rPr>
          <w:color w:val="auto"/>
          <w:highlight w:val="none"/>
        </w:rPr>
        <w:t xml:space="preserve">第一章  </w:t>
      </w:r>
      <w:r>
        <w:rPr>
          <w:rFonts w:hint="eastAsia"/>
          <w:color w:val="auto"/>
          <w:highlight w:val="none"/>
        </w:rPr>
        <w:t>奋发开拓有为 经济社会</w:t>
      </w:r>
      <w:r>
        <w:rPr>
          <w:color w:val="auto"/>
          <w:highlight w:val="none"/>
        </w:rPr>
        <w:t>发展</w:t>
      </w:r>
      <w:bookmarkEnd w:id="2"/>
      <w:bookmarkEnd w:id="3"/>
      <w:bookmarkEnd w:id="4"/>
      <w:bookmarkEnd w:id="5"/>
      <w:bookmarkEnd w:id="6"/>
      <w:bookmarkEnd w:id="7"/>
      <w:bookmarkEnd w:id="8"/>
      <w:r>
        <w:rPr>
          <w:rFonts w:hint="eastAsia"/>
          <w:color w:val="auto"/>
          <w:highlight w:val="none"/>
        </w:rPr>
        <w:t>迈上新台阶</w:t>
      </w:r>
      <w:bookmarkEnd w:id="9"/>
    </w:p>
    <w:p>
      <w:pPr>
        <w:ind w:firstLine="640"/>
        <w:rPr>
          <w:color w:val="auto"/>
          <w:highlight w:val="none"/>
        </w:rPr>
      </w:pPr>
      <w:r>
        <w:rPr>
          <w:rFonts w:hint="eastAsia"/>
          <w:color w:val="auto"/>
          <w:highlight w:val="none"/>
        </w:rPr>
        <w:t>“</w:t>
      </w:r>
      <w:r>
        <w:rPr>
          <w:color w:val="auto"/>
          <w:highlight w:val="none"/>
        </w:rPr>
        <w:t>十三五</w:t>
      </w:r>
      <w:r>
        <w:rPr>
          <w:rFonts w:hint="eastAsia"/>
          <w:color w:val="auto"/>
          <w:highlight w:val="none"/>
        </w:rPr>
        <w:t>”</w:t>
      </w:r>
      <w:r>
        <w:rPr>
          <w:color w:val="auto"/>
          <w:highlight w:val="none"/>
        </w:rPr>
        <w:t>以来，坡头区坚持以习近平新时代中国特色社会主义思想为指导，全面贯彻落实党的十九大和十九届二中、三中、四中</w:t>
      </w:r>
      <w:r>
        <w:rPr>
          <w:rFonts w:hint="eastAsia"/>
          <w:color w:val="auto"/>
          <w:highlight w:val="none"/>
        </w:rPr>
        <w:t>、五中</w:t>
      </w:r>
      <w:r>
        <w:rPr>
          <w:color w:val="auto"/>
          <w:highlight w:val="none"/>
        </w:rPr>
        <w:t>全会精神，在</w:t>
      </w:r>
      <w:r>
        <w:rPr>
          <w:rFonts w:hint="eastAsia"/>
          <w:color w:val="auto"/>
          <w:highlight w:val="none"/>
        </w:rPr>
        <w:t>国家“</w:t>
      </w:r>
      <w:r>
        <w:rPr>
          <w:color w:val="auto"/>
          <w:highlight w:val="none"/>
        </w:rPr>
        <w:t>一带一路</w:t>
      </w:r>
      <w:r>
        <w:rPr>
          <w:rFonts w:hint="eastAsia"/>
          <w:color w:val="auto"/>
          <w:highlight w:val="none"/>
        </w:rPr>
        <w:t>”</w:t>
      </w:r>
      <w:r>
        <w:rPr>
          <w:color w:val="auto"/>
          <w:highlight w:val="none"/>
        </w:rPr>
        <w:t>建设以及</w:t>
      </w:r>
      <w:r>
        <w:rPr>
          <w:rFonts w:hint="eastAsia"/>
          <w:color w:val="auto"/>
          <w:highlight w:val="none"/>
          <w:lang w:val="en-US" w:eastAsia="zh-CN"/>
        </w:rPr>
        <w:t>广东</w:t>
      </w:r>
      <w:r>
        <w:rPr>
          <w:rFonts w:hint="eastAsia"/>
          <w:color w:val="auto"/>
          <w:highlight w:val="none"/>
        </w:rPr>
        <w:t>“</w:t>
      </w:r>
      <w:r>
        <w:rPr>
          <w:color w:val="auto"/>
          <w:highlight w:val="none"/>
        </w:rPr>
        <w:t>一核一带一区</w:t>
      </w:r>
      <w:r>
        <w:rPr>
          <w:rFonts w:hint="eastAsia"/>
          <w:color w:val="auto"/>
          <w:highlight w:val="none"/>
        </w:rPr>
        <w:t>”</w:t>
      </w:r>
      <w:r>
        <w:rPr>
          <w:color w:val="auto"/>
          <w:highlight w:val="none"/>
        </w:rPr>
        <w:t>发展总体形势下，按照湛江市委市政府总体部署，全区经济社会进入高质量发展新时期。</w:t>
      </w:r>
    </w:p>
    <w:p>
      <w:pPr>
        <w:pStyle w:val="4"/>
        <w:spacing w:before="62" w:after="62"/>
        <w:ind w:firstLine="0"/>
        <w:jc w:val="center"/>
        <w:rPr>
          <w:rFonts w:hint="default" w:ascii="宋体" w:hAnsi="宋体"/>
          <w:color w:val="auto"/>
          <w:highlight w:val="none"/>
        </w:rPr>
      </w:pPr>
      <w:bookmarkStart w:id="10" w:name="_Toc53003153"/>
      <w:bookmarkStart w:id="11" w:name="_Toc27993"/>
      <w:bookmarkStart w:id="12" w:name="_Toc9519"/>
      <w:bookmarkStart w:id="13" w:name="_Toc28148"/>
      <w:bookmarkStart w:id="14" w:name="_Toc14574"/>
      <w:bookmarkStart w:id="15" w:name="_Toc6549"/>
      <w:bookmarkStart w:id="16" w:name="_Toc8215"/>
      <w:r>
        <w:rPr>
          <w:rFonts w:hint="default" w:ascii="宋体" w:hAnsi="宋体"/>
          <w:color w:val="auto"/>
          <w:highlight w:val="none"/>
        </w:rPr>
        <w:t>第一节 发展成就</w:t>
      </w:r>
      <w:bookmarkEnd w:id="10"/>
      <w:bookmarkEnd w:id="11"/>
      <w:bookmarkEnd w:id="12"/>
      <w:bookmarkEnd w:id="13"/>
      <w:bookmarkEnd w:id="14"/>
      <w:bookmarkEnd w:id="15"/>
      <w:bookmarkEnd w:id="16"/>
    </w:p>
    <w:p>
      <w:pPr>
        <w:ind w:firstLine="640"/>
        <w:rPr>
          <w:color w:val="auto"/>
          <w:highlight w:val="none"/>
        </w:rPr>
      </w:pPr>
      <w:r>
        <w:rPr>
          <w:rFonts w:hint="eastAsia"/>
          <w:color w:val="auto"/>
          <w:highlight w:val="none"/>
        </w:rPr>
        <w:t>“</w:t>
      </w:r>
      <w:r>
        <w:rPr>
          <w:color w:val="auto"/>
          <w:highlight w:val="none"/>
        </w:rPr>
        <w:t>十三五</w:t>
      </w:r>
      <w:r>
        <w:rPr>
          <w:rFonts w:hint="eastAsia"/>
          <w:color w:val="auto"/>
          <w:highlight w:val="none"/>
        </w:rPr>
        <w:t>”</w:t>
      </w:r>
      <w:r>
        <w:rPr>
          <w:color w:val="auto"/>
          <w:highlight w:val="none"/>
        </w:rPr>
        <w:t>期间，坡头经济由高速增长阶段转向高质量发展阶段，综合实力不断增强，基础设施逐步完善，民生保障水平不断提高，生活环境宜居宜业。面对全球政治经济形势多变、新冠病毒疫情冲击，全区人民团结一致、努力拼搏，把握机遇，稳中求进，扎实推进</w:t>
      </w:r>
      <w:r>
        <w:rPr>
          <w:rFonts w:hint="eastAsia"/>
          <w:color w:val="auto"/>
          <w:highlight w:val="none"/>
        </w:rPr>
        <w:t>“</w:t>
      </w:r>
      <w:r>
        <w:rPr>
          <w:color w:val="auto"/>
          <w:highlight w:val="none"/>
        </w:rPr>
        <w:t>四区融合</w:t>
      </w:r>
      <w:r>
        <w:rPr>
          <w:rFonts w:hint="eastAsia"/>
          <w:color w:val="auto"/>
          <w:highlight w:val="none"/>
        </w:rPr>
        <w:t>”</w:t>
      </w:r>
      <w:r>
        <w:rPr>
          <w:color w:val="auto"/>
          <w:highlight w:val="none"/>
        </w:rPr>
        <w:t>，全区发展建设取得可喜成绩。</w:t>
      </w:r>
    </w:p>
    <w:p>
      <w:pPr>
        <w:pStyle w:val="5"/>
        <w:rPr>
          <w:color w:val="auto"/>
          <w:highlight w:val="none"/>
        </w:rPr>
      </w:pPr>
      <w:r>
        <w:rPr>
          <w:color w:val="auto"/>
          <w:highlight w:val="none"/>
        </w:rPr>
        <w:t>一、经济发展水平显著提升</w:t>
      </w:r>
    </w:p>
    <w:p>
      <w:pPr>
        <w:rPr>
          <w:color w:val="auto"/>
          <w:highlight w:val="none"/>
        </w:rPr>
      </w:pPr>
      <w:r>
        <w:rPr>
          <w:rFonts w:hint="eastAsia" w:ascii="仿宋" w:hAnsi="仿宋" w:cs="仿宋"/>
          <w:b/>
          <w:bCs/>
          <w:color w:val="auto"/>
          <w:highlight w:val="none"/>
        </w:rPr>
        <w:t>综合实力稳步增强。</w:t>
      </w:r>
      <w:r>
        <w:rPr>
          <w:rFonts w:hint="eastAsia" w:ascii="仿宋" w:hAnsi="仿宋" w:cs="仿宋"/>
          <w:color w:val="auto"/>
          <w:highlight w:val="none"/>
        </w:rPr>
        <w:t>“十三五”期间，全区经济增长稳中有进，地区生产总值从</w:t>
      </w:r>
      <w:r>
        <w:rPr>
          <w:rFonts w:hint="eastAsia" w:ascii="Times New Roman" w:hAnsi="Times New Roman" w:cs="仿宋"/>
          <w:color w:val="auto"/>
          <w:highlight w:val="none"/>
          <w:lang w:eastAsia="zh-CN"/>
        </w:rPr>
        <w:t>2015</w:t>
      </w:r>
      <w:r>
        <w:rPr>
          <w:rFonts w:hint="eastAsia" w:ascii="仿宋" w:hAnsi="仿宋" w:cs="仿宋"/>
          <w:color w:val="auto"/>
          <w:highlight w:val="none"/>
        </w:rPr>
        <w:t>年的</w:t>
      </w:r>
      <w:r>
        <w:rPr>
          <w:rFonts w:hint="eastAsia" w:ascii="Times New Roman" w:hAnsi="Times New Roman" w:cs="仿宋"/>
          <w:color w:val="auto"/>
          <w:highlight w:val="none"/>
          <w:lang w:eastAsia="zh-CN"/>
        </w:rPr>
        <w:t>230.9</w:t>
      </w:r>
      <w:r>
        <w:rPr>
          <w:rFonts w:hint="eastAsia" w:ascii="仿宋" w:hAnsi="仿宋" w:cs="仿宋"/>
          <w:color w:val="auto"/>
          <w:highlight w:val="none"/>
        </w:rPr>
        <w:t>亿元增至</w:t>
      </w:r>
      <w:r>
        <w:rPr>
          <w:rFonts w:hint="eastAsia" w:ascii="Times New Roman" w:hAnsi="Times New Roman" w:cs="仿宋"/>
          <w:color w:val="auto"/>
          <w:highlight w:val="none"/>
          <w:lang w:eastAsia="zh-CN"/>
        </w:rPr>
        <w:t>2020</w:t>
      </w:r>
      <w:r>
        <w:rPr>
          <w:rFonts w:hint="eastAsia" w:ascii="仿宋" w:hAnsi="仿宋" w:cs="仿宋"/>
          <w:color w:val="auto"/>
          <w:highlight w:val="none"/>
        </w:rPr>
        <w:t>年的</w:t>
      </w:r>
      <w:r>
        <w:rPr>
          <w:rFonts w:hint="eastAsia" w:ascii="Times New Roman" w:hAnsi="Times New Roman" w:cs="仿宋"/>
          <w:color w:val="auto"/>
          <w:highlight w:val="none"/>
          <w:lang w:val="en-US" w:eastAsia="zh-CN"/>
        </w:rPr>
        <w:t>333.9</w:t>
      </w:r>
      <w:r>
        <w:rPr>
          <w:rFonts w:hint="eastAsia" w:ascii="仿宋" w:hAnsi="仿宋" w:cs="仿宋"/>
          <w:color w:val="auto"/>
          <w:highlight w:val="none"/>
        </w:rPr>
        <w:t>亿元，五年年均增长</w:t>
      </w:r>
      <w:r>
        <w:rPr>
          <w:rFonts w:hint="eastAsia" w:ascii="Times New Roman" w:hAnsi="Times New Roman" w:cs="仿宋"/>
          <w:color w:val="auto"/>
          <w:highlight w:val="none"/>
          <w:lang w:val="en-US" w:eastAsia="zh-CN"/>
        </w:rPr>
        <w:t>5.5</w:t>
      </w:r>
      <w:r>
        <w:rPr>
          <w:rFonts w:hint="eastAsia" w:ascii="Times New Roman" w:hAnsi="Times New Roman" w:cs="仿宋"/>
          <w:color w:val="auto"/>
          <w:highlight w:val="none"/>
          <w:lang w:eastAsia="zh-CN"/>
        </w:rPr>
        <w:t>%</w:t>
      </w:r>
      <w:r>
        <w:rPr>
          <w:rFonts w:hint="eastAsia" w:ascii="仿宋" w:hAnsi="仿宋" w:cs="仿宋"/>
          <w:color w:val="auto"/>
          <w:highlight w:val="none"/>
        </w:rPr>
        <w:t>；</w:t>
      </w:r>
      <w:r>
        <w:rPr>
          <w:rFonts w:hint="eastAsia" w:ascii="仿宋" w:hAnsi="仿宋" w:cs="仿宋"/>
          <w:color w:val="auto"/>
          <w:highlight w:val="none"/>
          <w:lang w:val="en-US" w:eastAsia="zh-CN"/>
        </w:rPr>
        <w:t>区属生产总值从</w:t>
      </w:r>
      <w:r>
        <w:rPr>
          <w:rFonts w:hint="eastAsia" w:ascii="Times New Roman" w:hAnsi="Times New Roman" w:cs="仿宋"/>
          <w:color w:val="auto"/>
          <w:highlight w:val="none"/>
          <w:lang w:val="en-US" w:eastAsia="zh-CN"/>
        </w:rPr>
        <w:t>2015</w:t>
      </w:r>
      <w:r>
        <w:rPr>
          <w:rFonts w:hint="eastAsia" w:ascii="仿宋" w:hAnsi="仿宋" w:cs="仿宋"/>
          <w:color w:val="auto"/>
          <w:highlight w:val="none"/>
          <w:lang w:val="en-US" w:eastAsia="zh-CN"/>
        </w:rPr>
        <w:t>年的</w:t>
      </w:r>
      <w:r>
        <w:rPr>
          <w:rFonts w:hint="eastAsia" w:ascii="Times New Roman" w:hAnsi="Times New Roman" w:cs="仿宋"/>
          <w:color w:val="auto"/>
          <w:highlight w:val="none"/>
          <w:lang w:val="en-US" w:eastAsia="zh-CN"/>
        </w:rPr>
        <w:t>84.5</w:t>
      </w:r>
      <w:r>
        <w:rPr>
          <w:rFonts w:hint="eastAsia" w:ascii="仿宋" w:hAnsi="仿宋" w:cs="仿宋"/>
          <w:color w:val="auto"/>
          <w:highlight w:val="none"/>
          <w:lang w:val="en-US" w:eastAsia="zh-CN"/>
        </w:rPr>
        <w:t>亿增至</w:t>
      </w:r>
      <w:r>
        <w:rPr>
          <w:rFonts w:hint="eastAsia" w:ascii="Times New Roman" w:hAnsi="Times New Roman" w:cs="仿宋"/>
          <w:color w:val="auto"/>
          <w:highlight w:val="none"/>
          <w:lang w:val="en-US" w:eastAsia="zh-CN"/>
        </w:rPr>
        <w:t>2020</w:t>
      </w:r>
      <w:r>
        <w:rPr>
          <w:rFonts w:hint="eastAsia" w:ascii="仿宋" w:hAnsi="仿宋" w:cs="仿宋"/>
          <w:color w:val="auto"/>
          <w:highlight w:val="none"/>
          <w:lang w:val="en-US" w:eastAsia="zh-CN"/>
        </w:rPr>
        <w:t>年的</w:t>
      </w:r>
      <w:r>
        <w:rPr>
          <w:rFonts w:hint="eastAsia" w:ascii="Times New Roman" w:hAnsi="Times New Roman" w:cs="仿宋"/>
          <w:color w:val="auto"/>
          <w:highlight w:val="none"/>
          <w:lang w:val="en-US" w:eastAsia="zh-CN"/>
        </w:rPr>
        <w:t>126.</w:t>
      </w:r>
      <w:r>
        <w:rPr>
          <w:rFonts w:hint="eastAsia" w:cs="仿宋"/>
          <w:color w:val="auto"/>
          <w:highlight w:val="none"/>
          <w:lang w:val="en-US" w:eastAsia="zh-CN"/>
        </w:rPr>
        <w:t>7</w:t>
      </w:r>
      <w:r>
        <w:rPr>
          <w:rFonts w:hint="eastAsia" w:ascii="仿宋" w:hAnsi="仿宋" w:cs="仿宋"/>
          <w:color w:val="auto"/>
          <w:highlight w:val="none"/>
        </w:rPr>
        <w:t>亿元</w:t>
      </w:r>
      <w:r>
        <w:rPr>
          <w:rFonts w:hint="eastAsia" w:ascii="仿宋" w:hAnsi="仿宋" w:cs="仿宋"/>
          <w:color w:val="auto"/>
          <w:highlight w:val="none"/>
          <w:lang w:eastAsia="zh-CN"/>
        </w:rPr>
        <w:t>，</w:t>
      </w:r>
      <w:r>
        <w:rPr>
          <w:rFonts w:hint="eastAsia" w:ascii="仿宋" w:hAnsi="仿宋" w:cs="仿宋"/>
          <w:color w:val="auto"/>
          <w:highlight w:val="none"/>
        </w:rPr>
        <w:t>五年年均增长</w:t>
      </w:r>
      <w:r>
        <w:rPr>
          <w:rFonts w:hint="eastAsia" w:ascii="Times New Roman" w:hAnsi="Times New Roman" w:cs="仿宋"/>
          <w:color w:val="auto"/>
          <w:highlight w:val="none"/>
          <w:lang w:val="en-US" w:eastAsia="zh-CN"/>
        </w:rPr>
        <w:t>8.4</w:t>
      </w:r>
      <w:r>
        <w:rPr>
          <w:rFonts w:hint="eastAsia" w:ascii="Times New Roman" w:hAnsi="Times New Roman" w:cs="仿宋"/>
          <w:color w:val="auto"/>
          <w:highlight w:val="none"/>
          <w:lang w:eastAsia="zh-CN"/>
        </w:rPr>
        <w:t>%</w:t>
      </w:r>
      <w:r>
        <w:rPr>
          <w:rFonts w:hint="eastAsia" w:ascii="仿宋" w:hAnsi="仿宋" w:cs="仿宋"/>
          <w:color w:val="auto"/>
          <w:highlight w:val="none"/>
          <w:lang w:eastAsia="zh-CN"/>
        </w:rPr>
        <w:t>。</w:t>
      </w:r>
      <w:r>
        <w:rPr>
          <w:rFonts w:hint="eastAsia" w:ascii="仿宋" w:hAnsi="仿宋" w:cs="仿宋"/>
          <w:color w:val="auto"/>
          <w:highlight w:val="none"/>
        </w:rPr>
        <w:t>人均生产总值从</w:t>
      </w:r>
      <w:r>
        <w:rPr>
          <w:rFonts w:hint="eastAsia" w:ascii="Times New Roman" w:hAnsi="Times New Roman" w:cs="仿宋"/>
          <w:color w:val="auto"/>
          <w:highlight w:val="none"/>
          <w:lang w:eastAsia="zh-CN"/>
        </w:rPr>
        <w:t>2015</w:t>
      </w:r>
      <w:r>
        <w:rPr>
          <w:rFonts w:hint="eastAsia" w:ascii="仿宋" w:hAnsi="仿宋" w:cs="仿宋"/>
          <w:color w:val="auto"/>
          <w:highlight w:val="none"/>
        </w:rPr>
        <w:t>年的</w:t>
      </w:r>
      <w:r>
        <w:rPr>
          <w:rFonts w:hint="eastAsia" w:ascii="Times New Roman" w:hAnsi="Times New Roman" w:cs="仿宋"/>
          <w:color w:val="auto"/>
          <w:highlight w:val="none"/>
          <w:lang w:eastAsia="zh-CN"/>
        </w:rPr>
        <w:t>66542</w:t>
      </w:r>
      <w:r>
        <w:rPr>
          <w:rFonts w:hint="eastAsia" w:ascii="仿宋" w:hAnsi="仿宋" w:cs="仿宋"/>
          <w:color w:val="auto"/>
          <w:highlight w:val="none"/>
        </w:rPr>
        <w:t>元增至</w:t>
      </w:r>
      <w:r>
        <w:rPr>
          <w:rFonts w:hint="eastAsia" w:ascii="Times New Roman" w:hAnsi="Times New Roman" w:cs="仿宋"/>
          <w:color w:val="auto"/>
          <w:highlight w:val="none"/>
          <w:lang w:eastAsia="zh-CN"/>
        </w:rPr>
        <w:t>2020</w:t>
      </w:r>
      <w:r>
        <w:rPr>
          <w:rFonts w:hint="eastAsia" w:ascii="仿宋" w:hAnsi="仿宋" w:cs="仿宋"/>
          <w:color w:val="auto"/>
          <w:highlight w:val="none"/>
        </w:rPr>
        <w:t>年的</w:t>
      </w:r>
      <w:r>
        <w:rPr>
          <w:rFonts w:hint="eastAsia" w:ascii="Times New Roman" w:hAnsi="Times New Roman" w:cs="仿宋"/>
          <w:color w:val="auto"/>
          <w:highlight w:val="none"/>
          <w:lang w:eastAsia="zh-CN"/>
        </w:rPr>
        <w:t>97450</w:t>
      </w:r>
      <w:r>
        <w:rPr>
          <w:rFonts w:hint="eastAsia" w:ascii="仿宋" w:hAnsi="仿宋" w:cs="仿宋"/>
          <w:color w:val="auto"/>
          <w:highlight w:val="none"/>
        </w:rPr>
        <w:t>元，五年年均增长</w:t>
      </w:r>
      <w:r>
        <w:rPr>
          <w:rFonts w:hint="eastAsia" w:ascii="Times New Roman" w:hAnsi="Times New Roman" w:cs="仿宋"/>
          <w:color w:val="auto"/>
          <w:highlight w:val="none"/>
          <w:lang w:val="en-US" w:eastAsia="zh-CN"/>
        </w:rPr>
        <w:t>6.5</w:t>
      </w:r>
      <w:r>
        <w:rPr>
          <w:rFonts w:hint="eastAsia" w:ascii="Times New Roman" w:hAnsi="Times New Roman" w:cs="仿宋"/>
          <w:color w:val="auto"/>
          <w:highlight w:val="none"/>
          <w:lang w:eastAsia="zh-CN"/>
        </w:rPr>
        <w:t>%</w:t>
      </w:r>
      <w:r>
        <w:rPr>
          <w:rFonts w:hint="eastAsia" w:ascii="仿宋" w:hAnsi="仿宋" w:cs="仿宋"/>
          <w:color w:val="auto"/>
          <w:highlight w:val="none"/>
        </w:rPr>
        <w:t>。</w:t>
      </w:r>
      <w:r>
        <w:rPr>
          <w:rFonts w:hint="eastAsia" w:ascii="仿宋" w:hAnsi="仿宋" w:cs="仿宋"/>
          <w:color w:val="auto"/>
          <w:highlight w:val="none"/>
          <w:lang w:eastAsia="zh-CN"/>
        </w:rPr>
        <w:t>“十三五”</w:t>
      </w:r>
      <w:r>
        <w:rPr>
          <w:rFonts w:hint="eastAsia" w:ascii="仿宋" w:hAnsi="仿宋" w:cs="仿宋"/>
          <w:color w:val="auto"/>
          <w:highlight w:val="none"/>
        </w:rPr>
        <w:t>期间累计完成固定资产投资</w:t>
      </w:r>
      <w:r>
        <w:rPr>
          <w:rFonts w:hint="eastAsia" w:ascii="Times New Roman" w:hAnsi="Times New Roman" w:cs="仿宋"/>
          <w:color w:val="auto"/>
          <w:highlight w:val="none"/>
          <w:lang w:val="en-US" w:eastAsia="zh-CN"/>
        </w:rPr>
        <w:t>582</w:t>
      </w:r>
      <w:r>
        <w:rPr>
          <w:rFonts w:hint="eastAsia" w:ascii="仿宋" w:hAnsi="仿宋" w:cs="仿宋"/>
          <w:color w:val="auto"/>
          <w:highlight w:val="none"/>
        </w:rPr>
        <w:t>亿元，</w:t>
      </w:r>
      <w:r>
        <w:rPr>
          <w:rFonts w:hint="eastAsia" w:ascii="仿宋" w:hAnsi="仿宋" w:cs="仿宋"/>
          <w:color w:val="auto"/>
          <w:highlight w:val="none"/>
          <w:lang w:val="en-US" w:eastAsia="zh-CN"/>
        </w:rPr>
        <w:t>同</w:t>
      </w:r>
      <w:r>
        <w:rPr>
          <w:rFonts w:hint="eastAsia" w:ascii="仿宋" w:hAnsi="仿宋" w:cs="仿宋"/>
          <w:color w:val="auto"/>
          <w:highlight w:val="none"/>
        </w:rPr>
        <w:t>比“十二五”时期增长</w:t>
      </w:r>
      <w:r>
        <w:rPr>
          <w:rFonts w:hint="eastAsia" w:ascii="Times New Roman" w:hAnsi="Times New Roman" w:cs="仿宋"/>
          <w:color w:val="auto"/>
          <w:highlight w:val="none"/>
          <w:lang w:eastAsia="zh-CN"/>
        </w:rPr>
        <w:t>189%</w:t>
      </w:r>
      <w:r>
        <w:rPr>
          <w:rFonts w:hint="eastAsia" w:ascii="仿宋" w:hAnsi="仿宋" w:cs="仿宋"/>
          <w:color w:val="auto"/>
          <w:highlight w:val="none"/>
        </w:rPr>
        <w:t>。</w:t>
      </w:r>
      <w:r>
        <w:rPr>
          <w:rFonts w:hint="default" w:ascii="Times New Roman" w:hAnsi="Times New Roman" w:cs="Times New Roman"/>
          <w:b w:val="0"/>
          <w:bCs w:val="0"/>
          <w:color w:val="auto"/>
          <w:szCs w:val="22"/>
          <w:highlight w:val="none"/>
        </w:rPr>
        <w:t>全区财政收入继续向好，</w:t>
      </w:r>
      <w:r>
        <w:rPr>
          <w:rFonts w:hint="eastAsia" w:ascii="Times New Roman" w:hAnsi="Times New Roman" w:cs="Times New Roman"/>
          <w:b w:val="0"/>
          <w:bCs w:val="0"/>
          <w:color w:val="auto"/>
          <w:szCs w:val="22"/>
          <w:highlight w:val="none"/>
          <w:lang w:eastAsia="zh-CN"/>
        </w:rPr>
        <w:t>2020</w:t>
      </w:r>
      <w:r>
        <w:rPr>
          <w:rFonts w:hint="default" w:ascii="Times New Roman" w:hAnsi="Times New Roman" w:cs="Times New Roman"/>
          <w:b w:val="0"/>
          <w:bCs w:val="0"/>
          <w:color w:val="auto"/>
          <w:szCs w:val="22"/>
          <w:highlight w:val="none"/>
        </w:rPr>
        <w:t>年区级税收收入首次突破</w:t>
      </w:r>
      <w:r>
        <w:rPr>
          <w:rFonts w:hint="eastAsia" w:ascii="Times New Roman" w:hAnsi="Times New Roman" w:cs="Times New Roman"/>
          <w:b w:val="0"/>
          <w:bCs w:val="0"/>
          <w:color w:val="auto"/>
          <w:szCs w:val="22"/>
          <w:highlight w:val="none"/>
          <w:lang w:eastAsia="zh-CN"/>
        </w:rPr>
        <w:t>5</w:t>
      </w:r>
      <w:r>
        <w:rPr>
          <w:rFonts w:hint="default" w:ascii="Times New Roman" w:hAnsi="Times New Roman" w:cs="Times New Roman"/>
          <w:b w:val="0"/>
          <w:bCs w:val="0"/>
          <w:color w:val="auto"/>
          <w:szCs w:val="22"/>
          <w:highlight w:val="none"/>
        </w:rPr>
        <w:t>亿元大关，完成</w:t>
      </w:r>
      <w:r>
        <w:rPr>
          <w:rFonts w:hint="eastAsia" w:ascii="Times New Roman" w:hAnsi="Times New Roman" w:cs="Times New Roman"/>
          <w:b w:val="0"/>
          <w:bCs w:val="0"/>
          <w:color w:val="auto"/>
          <w:szCs w:val="22"/>
          <w:highlight w:val="none"/>
          <w:lang w:eastAsia="zh-CN"/>
        </w:rPr>
        <w:t>5.02</w:t>
      </w:r>
      <w:r>
        <w:rPr>
          <w:rFonts w:hint="default" w:ascii="Times New Roman" w:hAnsi="Times New Roman" w:cs="Times New Roman"/>
          <w:b w:val="0"/>
          <w:bCs w:val="0"/>
          <w:color w:val="auto"/>
          <w:szCs w:val="22"/>
          <w:highlight w:val="none"/>
        </w:rPr>
        <w:t>亿元。</w:t>
      </w:r>
      <w:r>
        <w:rPr>
          <w:rFonts w:hint="eastAsia" w:ascii="仿宋" w:hAnsi="仿宋" w:cs="仿宋"/>
          <w:color w:val="auto"/>
          <w:highlight w:val="none"/>
        </w:rPr>
        <w:t>市场消费稳步增长，</w:t>
      </w:r>
      <w:r>
        <w:rPr>
          <w:rFonts w:hint="eastAsia" w:ascii="Times New Roman" w:hAnsi="Times New Roman" w:cs="仿宋"/>
          <w:color w:val="auto"/>
          <w:highlight w:val="none"/>
          <w:lang w:eastAsia="zh-CN"/>
        </w:rPr>
        <w:t>2016</w:t>
      </w:r>
      <w:r>
        <w:rPr>
          <w:rFonts w:hint="eastAsia" w:ascii="仿宋" w:hAnsi="仿宋" w:cs="仿宋"/>
          <w:color w:val="auto"/>
          <w:highlight w:val="none"/>
        </w:rPr>
        <w:t>年-</w:t>
      </w:r>
      <w:r>
        <w:rPr>
          <w:rFonts w:hint="eastAsia" w:ascii="Times New Roman" w:hAnsi="Times New Roman" w:cs="仿宋"/>
          <w:color w:val="auto"/>
          <w:highlight w:val="none"/>
          <w:lang w:eastAsia="zh-CN"/>
        </w:rPr>
        <w:t>2020</w:t>
      </w:r>
      <w:r>
        <w:rPr>
          <w:rFonts w:hint="eastAsia" w:ascii="仿宋" w:hAnsi="仿宋" w:cs="仿宋"/>
          <w:color w:val="auto"/>
          <w:highlight w:val="none"/>
        </w:rPr>
        <w:t>年期间，社会消费品零售总额分别完成</w:t>
      </w:r>
      <w:r>
        <w:rPr>
          <w:rFonts w:hint="eastAsia" w:ascii="Times New Roman" w:hAnsi="Times New Roman" w:cs="仿宋"/>
          <w:color w:val="auto"/>
          <w:highlight w:val="none"/>
          <w:lang w:eastAsia="zh-CN"/>
        </w:rPr>
        <w:t>38.5</w:t>
      </w:r>
      <w:r>
        <w:rPr>
          <w:rFonts w:hint="eastAsia" w:ascii="仿宋" w:hAnsi="仿宋" w:cs="仿宋"/>
          <w:color w:val="auto"/>
          <w:highlight w:val="none"/>
        </w:rPr>
        <w:t>亿元、</w:t>
      </w:r>
      <w:r>
        <w:rPr>
          <w:rFonts w:hint="eastAsia" w:ascii="Times New Roman" w:hAnsi="Times New Roman" w:cs="仿宋"/>
          <w:color w:val="auto"/>
          <w:highlight w:val="none"/>
          <w:lang w:eastAsia="zh-CN"/>
        </w:rPr>
        <w:t>42.4</w:t>
      </w:r>
      <w:r>
        <w:rPr>
          <w:rFonts w:hint="eastAsia" w:ascii="仿宋" w:hAnsi="仿宋" w:cs="仿宋"/>
          <w:color w:val="auto"/>
          <w:highlight w:val="none"/>
        </w:rPr>
        <w:t>亿元、</w:t>
      </w:r>
      <w:r>
        <w:rPr>
          <w:rFonts w:hint="eastAsia" w:ascii="Times New Roman" w:hAnsi="Times New Roman" w:cs="仿宋"/>
          <w:color w:val="auto"/>
          <w:highlight w:val="none"/>
          <w:lang w:eastAsia="zh-CN"/>
        </w:rPr>
        <w:t>46.1</w:t>
      </w:r>
      <w:r>
        <w:rPr>
          <w:rFonts w:hint="eastAsia" w:ascii="仿宋" w:hAnsi="仿宋" w:cs="仿宋"/>
          <w:color w:val="auto"/>
          <w:highlight w:val="none"/>
        </w:rPr>
        <w:t>亿元、</w:t>
      </w:r>
      <w:r>
        <w:rPr>
          <w:rFonts w:hint="eastAsia" w:ascii="Times New Roman" w:hAnsi="Times New Roman" w:cs="仿宋"/>
          <w:color w:val="auto"/>
          <w:highlight w:val="none"/>
          <w:lang w:eastAsia="zh-CN"/>
        </w:rPr>
        <w:t>50.2</w:t>
      </w:r>
      <w:r>
        <w:rPr>
          <w:rFonts w:hint="eastAsia" w:ascii="仿宋" w:hAnsi="仿宋" w:cs="仿宋"/>
          <w:color w:val="auto"/>
          <w:highlight w:val="none"/>
        </w:rPr>
        <w:t>亿元、</w:t>
      </w:r>
      <w:r>
        <w:rPr>
          <w:rFonts w:hint="eastAsia" w:ascii="Times New Roman" w:hAnsi="Times New Roman" w:cs="仿宋"/>
          <w:color w:val="auto"/>
          <w:highlight w:val="none"/>
          <w:lang w:eastAsia="zh-CN"/>
        </w:rPr>
        <w:t>39.3</w:t>
      </w:r>
      <w:r>
        <w:rPr>
          <w:rFonts w:hint="eastAsia" w:ascii="仿宋" w:hAnsi="仿宋" w:cs="仿宋"/>
          <w:color w:val="auto"/>
          <w:highlight w:val="none"/>
        </w:rPr>
        <w:t>亿元，五年年均增长</w:t>
      </w:r>
      <w:r>
        <w:rPr>
          <w:rFonts w:hint="eastAsia" w:ascii="Times New Roman" w:hAnsi="Times New Roman" w:cs="仿宋"/>
          <w:color w:val="auto"/>
          <w:highlight w:val="none"/>
          <w:lang w:eastAsia="zh-CN"/>
        </w:rPr>
        <w:t>3.4%</w:t>
      </w:r>
      <w:r>
        <w:rPr>
          <w:rFonts w:hint="eastAsia" w:ascii="仿宋" w:hAnsi="仿宋" w:cs="仿宋"/>
          <w:color w:val="auto"/>
          <w:highlight w:val="none"/>
        </w:rPr>
        <w:t>。“十三五”期间经济总量保持平稳快速增长，市场经营主体数量</w:t>
      </w:r>
      <w:r>
        <w:rPr>
          <w:rFonts w:hint="eastAsia" w:ascii="Times New Roman" w:hAnsi="Times New Roman" w:cs="仿宋"/>
          <w:color w:val="auto"/>
          <w:highlight w:val="none"/>
          <w:lang w:eastAsia="zh-CN"/>
        </w:rPr>
        <w:t>12058</w:t>
      </w:r>
      <w:r>
        <w:rPr>
          <w:rFonts w:hint="eastAsia" w:ascii="仿宋" w:hAnsi="仿宋" w:cs="仿宋"/>
          <w:color w:val="auto"/>
          <w:highlight w:val="none"/>
        </w:rPr>
        <w:t>户，</w:t>
      </w:r>
      <w:r>
        <w:rPr>
          <w:rFonts w:hint="eastAsia" w:ascii="仿宋" w:hAnsi="仿宋" w:cs="仿宋"/>
          <w:color w:val="auto"/>
          <w:highlight w:val="none"/>
          <w:lang w:eastAsia="zh-CN"/>
        </w:rPr>
        <w:t>“十三五”</w:t>
      </w:r>
      <w:r>
        <w:rPr>
          <w:rFonts w:hint="eastAsia" w:ascii="仿宋" w:hAnsi="仿宋" w:cs="仿宋"/>
          <w:color w:val="auto"/>
          <w:highlight w:val="none"/>
        </w:rPr>
        <w:t>期间累计增长</w:t>
      </w:r>
      <w:r>
        <w:rPr>
          <w:rFonts w:hint="eastAsia" w:ascii="Times New Roman" w:hAnsi="Times New Roman" w:cs="仿宋"/>
          <w:color w:val="auto"/>
          <w:highlight w:val="none"/>
          <w:lang w:eastAsia="zh-CN"/>
        </w:rPr>
        <w:t>72.5%</w:t>
      </w:r>
      <w:r>
        <w:rPr>
          <w:rFonts w:hint="eastAsia" w:ascii="仿宋" w:hAnsi="仿宋" w:cs="仿宋"/>
          <w:color w:val="auto"/>
          <w:highlight w:val="none"/>
        </w:rPr>
        <w:t>。</w:t>
      </w:r>
    </w:p>
    <w:p>
      <w:pPr>
        <w:rPr>
          <w:rFonts w:ascii="仿宋" w:hAnsi="仿宋" w:cs="仿宋"/>
          <w:b/>
          <w:bCs/>
          <w:color w:val="auto"/>
          <w:szCs w:val="22"/>
          <w:highlight w:val="none"/>
        </w:rPr>
      </w:pPr>
      <w:r>
        <w:rPr>
          <w:rFonts w:hint="default" w:ascii="Times New Roman" w:hAnsi="Times New Roman" w:cs="Times New Roman"/>
          <w:b/>
          <w:bCs/>
          <w:color w:val="auto"/>
          <w:szCs w:val="22"/>
          <w:highlight w:val="none"/>
        </w:rPr>
        <w:t>固定资产投资</w:t>
      </w:r>
      <w:r>
        <w:rPr>
          <w:rFonts w:hint="eastAsia" w:cs="Times New Roman"/>
          <w:b/>
          <w:bCs/>
          <w:color w:val="auto"/>
          <w:szCs w:val="22"/>
          <w:highlight w:val="none"/>
          <w:lang w:val="en-US" w:eastAsia="zh-CN"/>
        </w:rPr>
        <w:t>有效提升。</w:t>
      </w:r>
      <w:r>
        <w:rPr>
          <w:rFonts w:hint="eastAsia" w:ascii="仿宋" w:hAnsi="仿宋" w:eastAsia="仿宋" w:cs="仿宋"/>
          <w:color w:val="auto"/>
          <w:kern w:val="32"/>
          <w:sz w:val="32"/>
          <w:szCs w:val="32"/>
          <w:highlight w:val="none"/>
          <w:lang w:val="en-US" w:eastAsia="zh-CN" w:bidi="ar-SA"/>
        </w:rPr>
        <w:t>“十三五”时期，全社会固定资产投资快速增长，成功踏入“百亿俱乐部”并</w:t>
      </w:r>
      <w:r>
        <w:rPr>
          <w:rFonts w:hint="eastAsia" w:ascii="Times New Roman" w:hAnsi="Times New Roman" w:cs="仿宋"/>
          <w:color w:val="auto"/>
          <w:kern w:val="32"/>
          <w:sz w:val="32"/>
          <w:szCs w:val="32"/>
          <w:highlight w:val="none"/>
          <w:lang w:val="en-US" w:eastAsia="zh-CN" w:bidi="ar-SA"/>
        </w:rPr>
        <w:t>5</w:t>
      </w:r>
      <w:r>
        <w:rPr>
          <w:rFonts w:hint="eastAsia" w:ascii="仿宋" w:hAnsi="仿宋" w:eastAsia="仿宋" w:cs="仿宋"/>
          <w:color w:val="auto"/>
          <w:kern w:val="32"/>
          <w:sz w:val="32"/>
          <w:szCs w:val="32"/>
          <w:highlight w:val="none"/>
          <w:lang w:val="en-US" w:eastAsia="zh-CN" w:bidi="ar-SA"/>
        </w:rPr>
        <w:t>年累计超</w:t>
      </w:r>
      <w:r>
        <w:rPr>
          <w:rFonts w:hint="eastAsia" w:ascii="Times New Roman" w:hAnsi="Times New Roman" w:cs="仿宋"/>
          <w:color w:val="auto"/>
          <w:kern w:val="32"/>
          <w:sz w:val="32"/>
          <w:szCs w:val="32"/>
          <w:highlight w:val="none"/>
          <w:lang w:val="en-US" w:eastAsia="zh-CN" w:bidi="ar-SA"/>
        </w:rPr>
        <w:t>500</w:t>
      </w:r>
      <w:r>
        <w:rPr>
          <w:rFonts w:hint="eastAsia" w:ascii="仿宋" w:hAnsi="仿宋" w:eastAsia="仿宋" w:cs="仿宋"/>
          <w:color w:val="auto"/>
          <w:kern w:val="32"/>
          <w:sz w:val="32"/>
          <w:szCs w:val="32"/>
          <w:highlight w:val="none"/>
          <w:lang w:val="en-US" w:eastAsia="zh-CN" w:bidi="ar-SA"/>
        </w:rPr>
        <w:t>亿元投资，</w:t>
      </w:r>
      <w:r>
        <w:rPr>
          <w:rFonts w:hint="eastAsia" w:ascii="仿宋" w:hAnsi="仿宋" w:cs="仿宋"/>
          <w:color w:val="auto"/>
          <w:kern w:val="32"/>
          <w:sz w:val="32"/>
          <w:szCs w:val="32"/>
          <w:highlight w:val="none"/>
          <w:lang w:val="en-US" w:eastAsia="zh-CN" w:bidi="ar-SA"/>
        </w:rPr>
        <w:t>同比</w:t>
      </w:r>
      <w:r>
        <w:rPr>
          <w:rFonts w:hint="eastAsia" w:ascii="仿宋" w:hAnsi="仿宋" w:eastAsia="仿宋" w:cs="仿宋"/>
          <w:color w:val="auto"/>
          <w:kern w:val="32"/>
          <w:sz w:val="32"/>
          <w:szCs w:val="32"/>
          <w:highlight w:val="none"/>
          <w:lang w:val="en-US" w:eastAsia="zh-CN" w:bidi="ar-SA"/>
        </w:rPr>
        <w:t>“十二五”时期</w:t>
      </w:r>
      <w:r>
        <w:rPr>
          <w:rFonts w:hint="eastAsia" w:ascii="仿宋" w:hAnsi="仿宋" w:cs="仿宋"/>
          <w:color w:val="auto"/>
          <w:kern w:val="32"/>
          <w:sz w:val="32"/>
          <w:szCs w:val="32"/>
          <w:highlight w:val="none"/>
          <w:lang w:val="en-US" w:eastAsia="zh-CN" w:bidi="ar-SA"/>
        </w:rPr>
        <w:t>增长</w:t>
      </w:r>
      <w:r>
        <w:rPr>
          <w:rFonts w:hint="eastAsia" w:ascii="Times New Roman" w:hAnsi="Times New Roman" w:cs="仿宋"/>
          <w:color w:val="auto"/>
          <w:highlight w:val="none"/>
          <w:lang w:val="en-US" w:eastAsia="zh-CN"/>
        </w:rPr>
        <w:t>1</w:t>
      </w:r>
      <w:r>
        <w:rPr>
          <w:rFonts w:hint="eastAsia" w:ascii="Times New Roman" w:hAnsi="Times New Roman" w:cs="仿宋"/>
          <w:color w:val="auto"/>
          <w:highlight w:val="none"/>
          <w:lang w:eastAsia="zh-CN"/>
        </w:rPr>
        <w:t>89%</w:t>
      </w:r>
      <w:r>
        <w:rPr>
          <w:rFonts w:hint="eastAsia" w:ascii="仿宋" w:hAnsi="仿宋" w:eastAsia="仿宋" w:cs="仿宋"/>
          <w:color w:val="auto"/>
          <w:kern w:val="32"/>
          <w:sz w:val="32"/>
          <w:szCs w:val="32"/>
          <w:highlight w:val="none"/>
          <w:lang w:val="en-US" w:eastAsia="zh-CN" w:bidi="ar-SA"/>
        </w:rPr>
        <w:t>，超额完成计划目标。成功引入珠海华发、中船重工、绿地集团等国内</w:t>
      </w:r>
      <w:r>
        <w:rPr>
          <w:rFonts w:hint="eastAsia" w:ascii="Times New Roman" w:hAnsi="Times New Roman" w:cs="仿宋"/>
          <w:color w:val="auto"/>
          <w:kern w:val="32"/>
          <w:sz w:val="32"/>
          <w:szCs w:val="32"/>
          <w:highlight w:val="none"/>
          <w:lang w:val="en-US" w:eastAsia="zh-CN" w:bidi="ar-SA"/>
        </w:rPr>
        <w:t>500</w:t>
      </w:r>
      <w:r>
        <w:rPr>
          <w:rFonts w:hint="eastAsia" w:ascii="仿宋" w:hAnsi="仿宋" w:eastAsia="仿宋" w:cs="仿宋"/>
          <w:color w:val="auto"/>
          <w:kern w:val="32"/>
          <w:sz w:val="32"/>
          <w:szCs w:val="32"/>
          <w:highlight w:val="none"/>
          <w:lang w:val="en-US" w:eastAsia="zh-CN" w:bidi="ar-SA"/>
        </w:rPr>
        <w:t>强企业，加快推动</w:t>
      </w:r>
      <w:r>
        <w:rPr>
          <w:rFonts w:hint="eastAsia" w:ascii="仿宋" w:hAnsi="仿宋" w:cs="仿宋"/>
          <w:color w:val="auto"/>
          <w:kern w:val="32"/>
          <w:sz w:val="32"/>
          <w:szCs w:val="32"/>
          <w:highlight w:val="none"/>
          <w:lang w:val="en-US" w:eastAsia="zh-CN" w:bidi="ar-SA"/>
        </w:rPr>
        <w:t>全区</w:t>
      </w:r>
      <w:r>
        <w:rPr>
          <w:rFonts w:hint="eastAsia" w:ascii="仿宋" w:hAnsi="仿宋" w:eastAsia="仿宋" w:cs="仿宋"/>
          <w:color w:val="auto"/>
          <w:kern w:val="32"/>
          <w:sz w:val="32"/>
          <w:szCs w:val="32"/>
          <w:highlight w:val="none"/>
          <w:lang w:val="en-US" w:eastAsia="zh-CN" w:bidi="ar-SA"/>
        </w:rPr>
        <w:t>“产业、城市、人口”的深度融合。“十三五”期间，围绕列入重点项目</w:t>
      </w:r>
      <w:r>
        <w:rPr>
          <w:rFonts w:hint="eastAsia" w:ascii="Times New Roman" w:hAnsi="Times New Roman" w:cs="仿宋"/>
          <w:color w:val="auto"/>
          <w:kern w:val="32"/>
          <w:sz w:val="32"/>
          <w:szCs w:val="32"/>
          <w:highlight w:val="none"/>
          <w:lang w:val="en-US" w:eastAsia="zh-CN" w:bidi="ar-SA"/>
        </w:rPr>
        <w:t>115</w:t>
      </w:r>
      <w:r>
        <w:rPr>
          <w:rFonts w:hint="eastAsia" w:ascii="仿宋" w:hAnsi="仿宋" w:eastAsia="仿宋" w:cs="仿宋"/>
          <w:color w:val="auto"/>
          <w:kern w:val="32"/>
          <w:sz w:val="32"/>
          <w:szCs w:val="32"/>
          <w:highlight w:val="none"/>
          <w:lang w:val="en-US" w:eastAsia="zh-CN" w:bidi="ar-SA"/>
        </w:rPr>
        <w:t>个，</w:t>
      </w:r>
      <w:r>
        <w:rPr>
          <w:rFonts w:hint="eastAsia" w:ascii="仿宋" w:hAnsi="仿宋" w:eastAsia="仿宋" w:cs="仿宋"/>
          <w:color w:val="auto"/>
          <w:sz w:val="32"/>
          <w:szCs w:val="32"/>
          <w:highlight w:val="none"/>
        </w:rPr>
        <w:t>累计完成投资</w:t>
      </w:r>
      <w:r>
        <w:rPr>
          <w:rFonts w:hint="eastAsia" w:ascii="Times New Roman" w:hAnsi="Times New Roman" w:cs="仿宋"/>
          <w:color w:val="auto"/>
          <w:sz w:val="32"/>
          <w:szCs w:val="32"/>
          <w:highlight w:val="none"/>
          <w:lang w:eastAsia="zh-CN"/>
        </w:rPr>
        <w:t>152</w:t>
      </w:r>
      <w:r>
        <w:rPr>
          <w:rFonts w:hint="eastAsia" w:ascii="仿宋" w:hAnsi="仿宋" w:eastAsia="仿宋" w:cs="仿宋"/>
          <w:color w:val="auto"/>
          <w:sz w:val="32"/>
          <w:szCs w:val="32"/>
          <w:highlight w:val="none"/>
        </w:rPr>
        <w:t>亿元</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kern w:val="32"/>
          <w:sz w:val="32"/>
          <w:szCs w:val="32"/>
          <w:highlight w:val="none"/>
          <w:lang w:val="en-US" w:eastAsia="zh-CN" w:bidi="ar-SA"/>
        </w:rPr>
        <w:t>广东医科大学附属医院海东园区、湛江湾实验室、欢乐家食品、军港大道、南调河综合整治等一批重大项目相继动工。</w:t>
      </w:r>
    </w:p>
    <w:p>
      <w:pPr>
        <w:pStyle w:val="5"/>
        <w:rPr>
          <w:color w:val="auto"/>
          <w:highlight w:val="none"/>
        </w:rPr>
      </w:pPr>
      <w:r>
        <w:rPr>
          <w:rFonts w:hint="eastAsia"/>
          <w:color w:val="auto"/>
          <w:highlight w:val="none"/>
          <w:lang w:val="en-US" w:eastAsia="zh-CN"/>
        </w:rPr>
        <w:t>二</w:t>
      </w:r>
      <w:r>
        <w:rPr>
          <w:color w:val="auto"/>
          <w:highlight w:val="none"/>
        </w:rPr>
        <w:t>、重大平台建设取得突破性进展</w:t>
      </w:r>
    </w:p>
    <w:p>
      <w:pPr>
        <w:rPr>
          <w:color w:val="auto"/>
          <w:highlight w:val="none"/>
        </w:rPr>
      </w:pPr>
      <w:r>
        <w:rPr>
          <w:rFonts w:hint="eastAsia"/>
          <w:b/>
          <w:bCs/>
          <w:color w:val="auto"/>
          <w:szCs w:val="22"/>
          <w:highlight w:val="none"/>
        </w:rPr>
        <w:t>高新区建设取得新突破。</w:t>
      </w:r>
      <w:r>
        <w:rPr>
          <w:rFonts w:hint="eastAsia"/>
          <w:color w:val="auto"/>
          <w:highlight w:val="none"/>
        </w:rPr>
        <w:t>高新区海东园区建设正式启动，各项建设工作扎实推进。2020年湛江国家高新区在全国169个国家高新区考核排名从上年度的118名提升为109名，</w:t>
      </w:r>
      <w:r>
        <w:rPr>
          <w:rFonts w:hint="eastAsia"/>
          <w:color w:val="auto"/>
          <w:highlight w:val="none"/>
          <w:lang w:val="en-US" w:eastAsia="zh-CN"/>
        </w:rPr>
        <w:t>坡头</w:t>
      </w:r>
      <w:r>
        <w:rPr>
          <w:rFonts w:hint="eastAsia"/>
          <w:color w:val="auto"/>
          <w:highlight w:val="none"/>
        </w:rPr>
        <w:t>区被省评为制造业发展较好</w:t>
      </w:r>
      <w:r>
        <w:rPr>
          <w:rFonts w:hint="eastAsia"/>
          <w:color w:val="auto"/>
          <w:highlight w:val="none"/>
          <w:lang w:val="en-US" w:eastAsia="zh-CN"/>
        </w:rPr>
        <w:t>地区</w:t>
      </w:r>
      <w:r>
        <w:rPr>
          <w:rFonts w:hint="eastAsia"/>
          <w:color w:val="auto"/>
          <w:highlight w:val="none"/>
        </w:rPr>
        <w:t>。广东省</w:t>
      </w:r>
      <w:r>
        <w:rPr>
          <w:rFonts w:hint="eastAsia" w:ascii="Times New Roman" w:hAnsi="Times New Roman"/>
          <w:color w:val="auto"/>
          <w:highlight w:val="none"/>
          <w:lang w:eastAsia="zh-CN"/>
        </w:rPr>
        <w:t>10</w:t>
      </w:r>
      <w:r>
        <w:rPr>
          <w:rFonts w:hint="eastAsia"/>
          <w:color w:val="auto"/>
          <w:highlight w:val="none"/>
        </w:rPr>
        <w:t>家省实验室之一的南方海洋科学与工程广东省实验室（湛江）（以下简称“湛江湾实验室”）落地并开工建设、广东医科大学海东校区</w:t>
      </w:r>
      <w:r>
        <w:rPr>
          <w:rFonts w:hint="eastAsia"/>
          <w:color w:val="auto"/>
          <w:highlight w:val="none"/>
          <w:lang w:val="en-US" w:eastAsia="zh-CN"/>
        </w:rPr>
        <w:t>落户</w:t>
      </w:r>
      <w:r>
        <w:rPr>
          <w:rFonts w:hint="eastAsia"/>
          <w:color w:val="auto"/>
          <w:highlight w:val="none"/>
        </w:rPr>
        <w:t>高新区</w:t>
      </w:r>
      <w:r>
        <w:rPr>
          <w:rFonts w:hint="eastAsia"/>
          <w:color w:val="auto"/>
          <w:highlight w:val="none"/>
          <w:lang w:val="en-US" w:eastAsia="zh-CN"/>
        </w:rPr>
        <w:t>动工在即</w:t>
      </w:r>
      <w:r>
        <w:rPr>
          <w:rFonts w:hint="eastAsia"/>
          <w:color w:val="auto"/>
          <w:highlight w:val="none"/>
        </w:rPr>
        <w:t>。</w:t>
      </w:r>
      <w:r>
        <w:rPr>
          <w:rFonts w:hint="eastAsia"/>
          <w:color w:val="auto"/>
          <w:szCs w:val="22"/>
          <w:highlight w:val="none"/>
          <w:lang w:val="en-US" w:eastAsia="zh-CN"/>
        </w:rPr>
        <w:t>成功</w:t>
      </w:r>
      <w:r>
        <w:rPr>
          <w:rFonts w:hint="eastAsia"/>
          <w:color w:val="auto"/>
          <w:szCs w:val="22"/>
          <w:highlight w:val="none"/>
        </w:rPr>
        <w:t>引进了吴有生、周守为</w:t>
      </w:r>
      <w:r>
        <w:rPr>
          <w:rFonts w:hint="eastAsia"/>
          <w:color w:val="auto"/>
          <w:highlight w:val="none"/>
        </w:rPr>
        <w:t>等</w:t>
      </w:r>
      <w:r>
        <w:rPr>
          <w:rFonts w:hint="eastAsia" w:ascii="Times New Roman" w:hAnsi="Times New Roman"/>
          <w:color w:val="auto"/>
          <w:highlight w:val="none"/>
          <w:lang w:eastAsia="zh-CN"/>
        </w:rPr>
        <w:t>12</w:t>
      </w:r>
      <w:r>
        <w:rPr>
          <w:rFonts w:hint="eastAsia"/>
          <w:color w:val="auto"/>
          <w:highlight w:val="none"/>
        </w:rPr>
        <w:t>位院士</w:t>
      </w:r>
      <w:r>
        <w:rPr>
          <w:rFonts w:hint="eastAsia"/>
          <w:color w:val="auto"/>
          <w:highlight w:val="none"/>
          <w:lang w:eastAsia="zh-CN"/>
        </w:rPr>
        <w:t>，</w:t>
      </w:r>
      <w:r>
        <w:rPr>
          <w:rFonts w:hint="eastAsia"/>
          <w:color w:val="auto"/>
          <w:szCs w:val="22"/>
          <w:highlight w:val="none"/>
          <w:lang w:eastAsia="zh-CN"/>
        </w:rPr>
        <w:t>深圳鹏城实验室</w:t>
      </w:r>
      <w:r>
        <w:rPr>
          <w:rFonts w:hint="eastAsia"/>
          <w:color w:val="auto"/>
          <w:szCs w:val="22"/>
          <w:highlight w:val="none"/>
          <w:lang w:val="en-US" w:eastAsia="zh-CN"/>
        </w:rPr>
        <w:t>建设初显成效</w:t>
      </w:r>
      <w:r>
        <w:rPr>
          <w:rFonts w:hint="eastAsia"/>
          <w:color w:val="auto"/>
          <w:highlight w:val="none"/>
          <w:lang w:val="en-US" w:eastAsia="zh-CN"/>
        </w:rPr>
        <w:t>，</w:t>
      </w:r>
      <w:r>
        <w:rPr>
          <w:rFonts w:hint="eastAsia"/>
          <w:color w:val="auto"/>
          <w:highlight w:val="none"/>
        </w:rPr>
        <w:t>园区基础设施加快建设，园区首期片区西区</w:t>
      </w:r>
      <w:r>
        <w:rPr>
          <w:rFonts w:hint="eastAsia" w:ascii="Times New Roman" w:hAnsi="Times New Roman"/>
          <w:color w:val="auto"/>
          <w:szCs w:val="22"/>
          <w:highlight w:val="none"/>
          <w:lang w:eastAsia="zh-CN"/>
        </w:rPr>
        <w:t>12</w:t>
      </w:r>
      <w:r>
        <w:rPr>
          <w:rFonts w:hint="eastAsia"/>
          <w:color w:val="auto"/>
          <w:highlight w:val="none"/>
        </w:rPr>
        <w:t>条市政公路项目已动工建设。</w:t>
      </w:r>
    </w:p>
    <w:p>
      <w:pPr>
        <w:rPr>
          <w:rFonts w:hint="eastAsia"/>
          <w:color w:val="auto"/>
          <w:szCs w:val="22"/>
          <w:highlight w:val="none"/>
        </w:rPr>
      </w:pPr>
      <w:r>
        <w:rPr>
          <w:rFonts w:hint="eastAsia"/>
          <w:b/>
          <w:bCs/>
          <w:color w:val="auto"/>
          <w:szCs w:val="22"/>
          <w:highlight w:val="none"/>
        </w:rPr>
        <w:t>海东新区提质实现新进步。</w:t>
      </w:r>
      <w:r>
        <w:rPr>
          <w:rFonts w:hint="eastAsia"/>
          <w:color w:val="auto"/>
          <w:szCs w:val="22"/>
          <w:highlight w:val="none"/>
        </w:rPr>
        <w:t>相继完成海东快线等基础设施工程项目</w:t>
      </w:r>
      <w:r>
        <w:rPr>
          <w:rFonts w:hint="eastAsia" w:ascii="Times New Roman" w:hAnsi="Times New Roman"/>
          <w:color w:val="auto"/>
          <w:szCs w:val="22"/>
          <w:highlight w:val="none"/>
          <w:lang w:eastAsia="zh-CN"/>
        </w:rPr>
        <w:t>25</w:t>
      </w:r>
      <w:r>
        <w:rPr>
          <w:rFonts w:hint="eastAsia"/>
          <w:color w:val="auto"/>
          <w:szCs w:val="22"/>
          <w:highlight w:val="none"/>
        </w:rPr>
        <w:t>个、启达东海岸等房地产商贸类项目</w:t>
      </w:r>
      <w:r>
        <w:rPr>
          <w:rFonts w:hint="eastAsia" w:ascii="Times New Roman" w:hAnsi="Times New Roman"/>
          <w:color w:val="auto"/>
          <w:szCs w:val="22"/>
          <w:highlight w:val="none"/>
          <w:lang w:eastAsia="zh-CN"/>
        </w:rPr>
        <w:t>4</w:t>
      </w:r>
      <w:r>
        <w:rPr>
          <w:rFonts w:hint="eastAsia"/>
          <w:color w:val="auto"/>
          <w:szCs w:val="22"/>
          <w:highlight w:val="none"/>
        </w:rPr>
        <w:t>个、吉龙门业新厂等产业类项目</w:t>
      </w:r>
      <w:r>
        <w:rPr>
          <w:rFonts w:hint="eastAsia" w:ascii="Times New Roman" w:hAnsi="Times New Roman"/>
          <w:color w:val="auto"/>
          <w:szCs w:val="22"/>
          <w:highlight w:val="none"/>
          <w:lang w:eastAsia="zh-CN"/>
        </w:rPr>
        <w:t>6</w:t>
      </w:r>
      <w:r>
        <w:rPr>
          <w:rFonts w:hint="eastAsia"/>
          <w:color w:val="auto"/>
          <w:szCs w:val="22"/>
          <w:highlight w:val="none"/>
        </w:rPr>
        <w:t>个、湛江市实验小学等社会事业类项目</w:t>
      </w:r>
      <w:r>
        <w:rPr>
          <w:rFonts w:hint="eastAsia" w:ascii="Times New Roman" w:hAnsi="Times New Roman"/>
          <w:color w:val="auto"/>
          <w:szCs w:val="22"/>
          <w:highlight w:val="none"/>
          <w:lang w:eastAsia="zh-CN"/>
        </w:rPr>
        <w:t>7</w:t>
      </w:r>
      <w:r>
        <w:rPr>
          <w:rFonts w:hint="eastAsia"/>
          <w:color w:val="auto"/>
          <w:szCs w:val="22"/>
          <w:highlight w:val="none"/>
        </w:rPr>
        <w:t>个等一批建设项目。新区交通建设全面拉开，广湛高铁坡头段启动动工建设，调顺跨海大桥、汕湛高速公路吴川支线坡头段、东盛大道南、海盛路一期等基础设施加快推进。</w:t>
      </w:r>
    </w:p>
    <w:p>
      <w:pPr>
        <w:rPr>
          <w:color w:val="auto"/>
          <w:highlight w:val="none"/>
        </w:rPr>
      </w:pPr>
      <w:r>
        <w:rPr>
          <w:rFonts w:hint="eastAsia"/>
          <w:b/>
          <w:bCs/>
          <w:color w:val="auto"/>
          <w:szCs w:val="22"/>
          <w:highlight w:val="none"/>
          <w:lang w:val="en-US" w:eastAsia="zh-CN"/>
        </w:rPr>
        <w:t>国家</w:t>
      </w:r>
      <w:r>
        <w:rPr>
          <w:rFonts w:hint="eastAsia"/>
          <w:b/>
          <w:bCs/>
          <w:color w:val="auto"/>
          <w:szCs w:val="22"/>
          <w:highlight w:val="none"/>
        </w:rPr>
        <w:t>滨海旅游示范区开启新征程。</w:t>
      </w:r>
      <w:r>
        <w:rPr>
          <w:rFonts w:hint="eastAsia" w:ascii="仿宋" w:hAnsi="仿宋" w:eastAsia="仿宋" w:cs="仿宋"/>
          <w:color w:val="auto"/>
          <w:sz w:val="32"/>
          <w:szCs w:val="32"/>
          <w:highlight w:val="none"/>
        </w:rPr>
        <w:t>完成南三岛东部沿海片区控规修编工作</w:t>
      </w:r>
      <w:r>
        <w:rPr>
          <w:rFonts w:hint="eastAsia" w:ascii="仿宋" w:hAnsi="仿宋" w:cs="仿宋"/>
          <w:color w:val="auto"/>
          <w:sz w:val="32"/>
          <w:szCs w:val="32"/>
          <w:highlight w:val="none"/>
          <w:lang w:eastAsia="zh-CN"/>
        </w:rPr>
        <w:t>。全力打通南三岛经济大动脉，</w:t>
      </w:r>
      <w:r>
        <w:rPr>
          <w:rFonts w:hint="eastAsia" w:ascii="仿宋" w:hAnsi="仿宋" w:eastAsia="仿宋" w:cs="仿宋"/>
          <w:color w:val="auto"/>
          <w:sz w:val="32"/>
          <w:szCs w:val="32"/>
          <w:highlight w:val="none"/>
        </w:rPr>
        <w:t>环城高速南三岛大桥</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省道</w:t>
      </w:r>
      <w:r>
        <w:rPr>
          <w:rFonts w:hint="eastAsia" w:ascii="Times New Roman" w:hAnsi="Times New Roman" w:cs="仿宋"/>
          <w:color w:val="auto"/>
          <w:sz w:val="32"/>
          <w:szCs w:val="32"/>
          <w:highlight w:val="none"/>
          <w:lang w:eastAsia="zh-CN"/>
        </w:rPr>
        <w:t>286</w:t>
      </w:r>
      <w:r>
        <w:rPr>
          <w:rFonts w:hint="eastAsia" w:ascii="仿宋" w:hAnsi="仿宋" w:eastAsia="仿宋" w:cs="仿宋"/>
          <w:color w:val="auto"/>
          <w:sz w:val="32"/>
          <w:szCs w:val="32"/>
          <w:highlight w:val="none"/>
        </w:rPr>
        <w:t>线南三岛北涯至南三林场段改建工程动工</w:t>
      </w:r>
      <w:r>
        <w:rPr>
          <w:rFonts w:hint="eastAsia" w:ascii="仿宋" w:hAnsi="仿宋" w:eastAsia="仿宋" w:cs="仿宋"/>
          <w:color w:val="auto"/>
          <w:sz w:val="32"/>
          <w:szCs w:val="32"/>
          <w:highlight w:val="none"/>
          <w:lang w:val="en-US" w:eastAsia="zh-CN"/>
        </w:rPr>
        <w:t>建设</w:t>
      </w:r>
      <w:r>
        <w:rPr>
          <w:rFonts w:hint="eastAsia" w:ascii="仿宋" w:hAnsi="仿宋" w:cs="仿宋"/>
          <w:color w:val="auto"/>
          <w:sz w:val="32"/>
          <w:szCs w:val="32"/>
          <w:highlight w:val="none"/>
          <w:lang w:val="en-US" w:eastAsia="zh-CN"/>
        </w:rPr>
        <w:t>，“南三-东海岛”连接线即将启动前期工作</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rPr>
        <w:t>南三</w:t>
      </w:r>
      <w:r>
        <w:rPr>
          <w:rFonts w:hint="eastAsia" w:ascii="仿宋" w:hAnsi="仿宋" w:cs="仿宋"/>
          <w:color w:val="auto"/>
          <w:sz w:val="32"/>
          <w:szCs w:val="32"/>
          <w:highlight w:val="none"/>
          <w:lang w:val="en-US" w:eastAsia="zh-CN"/>
        </w:rPr>
        <w:t>岛</w:t>
      </w:r>
      <w:r>
        <w:rPr>
          <w:rFonts w:hint="eastAsia" w:ascii="仿宋" w:hAnsi="仿宋" w:eastAsia="仿宋" w:cs="仿宋"/>
          <w:color w:val="auto"/>
          <w:sz w:val="32"/>
          <w:szCs w:val="32"/>
          <w:highlight w:val="none"/>
        </w:rPr>
        <w:t>交通网路</w:t>
      </w:r>
      <w:r>
        <w:rPr>
          <w:rFonts w:hint="eastAsia" w:ascii="仿宋" w:hAnsi="仿宋" w:eastAsia="仿宋" w:cs="仿宋"/>
          <w:color w:val="auto"/>
          <w:sz w:val="32"/>
          <w:szCs w:val="32"/>
          <w:highlight w:val="none"/>
          <w:lang w:val="en-US" w:eastAsia="zh-CN"/>
        </w:rPr>
        <w:t>得到</w:t>
      </w:r>
      <w:r>
        <w:rPr>
          <w:rFonts w:hint="eastAsia" w:ascii="仿宋" w:hAnsi="仿宋" w:eastAsia="仿宋" w:cs="仿宋"/>
          <w:color w:val="auto"/>
          <w:sz w:val="32"/>
          <w:szCs w:val="32"/>
          <w:highlight w:val="none"/>
        </w:rPr>
        <w:t>质变性改善。开创性推进实施军民融合战略，争取中船重工项目落户南三</w:t>
      </w:r>
      <w:r>
        <w:rPr>
          <w:rFonts w:hint="eastAsia" w:ascii="仿宋" w:hAnsi="仿宋" w:cs="仿宋"/>
          <w:color w:val="auto"/>
          <w:sz w:val="32"/>
          <w:szCs w:val="32"/>
          <w:highlight w:val="none"/>
          <w:lang w:val="en-US" w:eastAsia="zh-CN"/>
        </w:rPr>
        <w:t>岛</w:t>
      </w:r>
      <w:r>
        <w:rPr>
          <w:rFonts w:hint="eastAsia" w:ascii="仿宋" w:hAnsi="仿宋" w:eastAsia="仿宋" w:cs="仿宋"/>
          <w:color w:val="auto"/>
          <w:sz w:val="32"/>
          <w:szCs w:val="32"/>
          <w:highlight w:val="none"/>
        </w:rPr>
        <w:t>。</w:t>
      </w:r>
    </w:p>
    <w:p>
      <w:pPr>
        <w:pStyle w:val="5"/>
        <w:rPr>
          <w:color w:val="auto"/>
          <w:highlight w:val="none"/>
        </w:rPr>
      </w:pPr>
      <w:r>
        <w:rPr>
          <w:rFonts w:hint="eastAsia"/>
          <w:color w:val="auto"/>
          <w:highlight w:val="none"/>
          <w:lang w:val="en-US" w:eastAsia="zh-CN"/>
        </w:rPr>
        <w:t>三</w:t>
      </w:r>
      <w:r>
        <w:rPr>
          <w:color w:val="auto"/>
          <w:highlight w:val="none"/>
        </w:rPr>
        <w:t>、产业结构持续优化</w:t>
      </w:r>
    </w:p>
    <w:p>
      <w:pPr>
        <w:ind w:firstLine="640"/>
        <w:rPr>
          <w:rFonts w:ascii="仿宋" w:hAnsi="仿宋" w:cs="仿宋"/>
          <w:color w:val="auto"/>
          <w:highlight w:val="none"/>
        </w:rPr>
      </w:pPr>
      <w:r>
        <w:rPr>
          <w:rFonts w:hint="eastAsia" w:ascii="仿宋" w:hAnsi="仿宋" w:cs="仿宋"/>
          <w:color w:val="auto"/>
          <w:highlight w:val="none"/>
        </w:rPr>
        <w:t>“十三五”期间全区三次产业结构由</w:t>
      </w:r>
      <w:r>
        <w:rPr>
          <w:rFonts w:hint="eastAsia" w:ascii="Times New Roman" w:hAnsi="Times New Roman" w:cs="仿宋"/>
          <w:color w:val="auto"/>
          <w:highlight w:val="none"/>
          <w:lang w:eastAsia="zh-CN"/>
        </w:rPr>
        <w:t>2015</w:t>
      </w:r>
      <w:r>
        <w:rPr>
          <w:rFonts w:hint="eastAsia" w:ascii="仿宋" w:hAnsi="仿宋" w:cs="仿宋"/>
          <w:color w:val="auto"/>
          <w:highlight w:val="none"/>
        </w:rPr>
        <w:t>年的</w:t>
      </w:r>
      <w:r>
        <w:rPr>
          <w:rFonts w:hint="eastAsia" w:ascii="Times New Roman" w:hAnsi="Times New Roman" w:cs="仿宋"/>
          <w:color w:val="auto"/>
          <w:highlight w:val="none"/>
          <w:lang w:eastAsia="zh-CN"/>
        </w:rPr>
        <w:t>6.7</w:t>
      </w:r>
      <w:r>
        <w:rPr>
          <w:rFonts w:hint="eastAsia" w:ascii="仿宋" w:hAnsi="仿宋" w:cs="仿宋"/>
          <w:color w:val="auto"/>
          <w:highlight w:val="none"/>
          <w:lang w:val="en-US" w:eastAsia="zh-CN"/>
        </w:rPr>
        <w:t>:</w:t>
      </w:r>
      <w:r>
        <w:rPr>
          <w:rFonts w:hint="eastAsia" w:ascii="Times New Roman" w:hAnsi="Times New Roman" w:cs="仿宋"/>
          <w:color w:val="auto"/>
          <w:highlight w:val="none"/>
          <w:lang w:eastAsia="zh-CN"/>
        </w:rPr>
        <w:t>74.6</w:t>
      </w:r>
      <w:r>
        <w:rPr>
          <w:rFonts w:hint="eastAsia" w:ascii="仿宋" w:hAnsi="仿宋" w:cs="仿宋"/>
          <w:color w:val="auto"/>
          <w:highlight w:val="none"/>
          <w:lang w:val="en-US" w:eastAsia="zh-CN"/>
        </w:rPr>
        <w:t>:</w:t>
      </w:r>
      <w:r>
        <w:rPr>
          <w:rFonts w:hint="eastAsia" w:ascii="Times New Roman" w:hAnsi="Times New Roman" w:cs="仿宋"/>
          <w:color w:val="auto"/>
          <w:highlight w:val="none"/>
          <w:lang w:eastAsia="zh-CN"/>
        </w:rPr>
        <w:t>18.7</w:t>
      </w:r>
      <w:r>
        <w:rPr>
          <w:rFonts w:hint="eastAsia" w:ascii="仿宋" w:hAnsi="仿宋" w:cs="仿宋"/>
          <w:color w:val="auto"/>
          <w:highlight w:val="none"/>
        </w:rPr>
        <w:t>调整为</w:t>
      </w:r>
      <w:r>
        <w:rPr>
          <w:rFonts w:hint="eastAsia" w:ascii="Times New Roman" w:hAnsi="Times New Roman" w:cs="仿宋"/>
          <w:color w:val="auto"/>
          <w:highlight w:val="none"/>
          <w:lang w:eastAsia="zh-CN"/>
        </w:rPr>
        <w:t>2020</w:t>
      </w:r>
      <w:r>
        <w:rPr>
          <w:rFonts w:hint="eastAsia" w:ascii="仿宋" w:hAnsi="仿宋" w:cs="仿宋"/>
          <w:color w:val="auto"/>
          <w:highlight w:val="none"/>
        </w:rPr>
        <w:t>年的</w:t>
      </w:r>
      <w:r>
        <w:rPr>
          <w:rFonts w:hint="eastAsia" w:ascii="Times New Roman" w:hAnsi="Times New Roman" w:cs="仿宋"/>
          <w:color w:val="auto"/>
          <w:szCs w:val="22"/>
          <w:highlight w:val="none"/>
          <w:lang w:eastAsia="zh-CN"/>
        </w:rPr>
        <w:t>6.2</w:t>
      </w:r>
      <w:r>
        <w:rPr>
          <w:rFonts w:hint="eastAsia" w:ascii="仿宋" w:hAnsi="仿宋" w:cs="仿宋"/>
          <w:color w:val="auto"/>
          <w:szCs w:val="22"/>
          <w:highlight w:val="none"/>
        </w:rPr>
        <w:t>:</w:t>
      </w:r>
      <w:r>
        <w:rPr>
          <w:rFonts w:hint="eastAsia" w:ascii="Times New Roman" w:hAnsi="Times New Roman" w:cs="仿宋"/>
          <w:color w:val="auto"/>
          <w:szCs w:val="22"/>
          <w:highlight w:val="none"/>
          <w:lang w:eastAsia="zh-CN"/>
        </w:rPr>
        <w:t>68.2</w:t>
      </w:r>
      <w:r>
        <w:rPr>
          <w:rFonts w:hint="eastAsia" w:ascii="仿宋" w:hAnsi="仿宋" w:cs="仿宋"/>
          <w:color w:val="auto"/>
          <w:szCs w:val="22"/>
          <w:highlight w:val="none"/>
        </w:rPr>
        <w:t>:</w:t>
      </w:r>
      <w:r>
        <w:rPr>
          <w:rFonts w:hint="eastAsia" w:ascii="Times New Roman" w:hAnsi="Times New Roman" w:cs="仿宋"/>
          <w:color w:val="auto"/>
          <w:szCs w:val="22"/>
          <w:highlight w:val="none"/>
          <w:lang w:eastAsia="zh-CN"/>
        </w:rPr>
        <w:t>25.6</w:t>
      </w:r>
      <w:r>
        <w:rPr>
          <w:rFonts w:hint="eastAsia" w:ascii="仿宋" w:hAnsi="仿宋" w:cs="仿宋"/>
          <w:color w:val="auto"/>
          <w:szCs w:val="22"/>
          <w:highlight w:val="none"/>
          <w:lang w:eastAsia="zh-CN"/>
        </w:rPr>
        <w:t>（</w:t>
      </w:r>
      <w:r>
        <w:rPr>
          <w:rFonts w:hint="eastAsia" w:ascii="仿宋" w:hAnsi="仿宋" w:cs="仿宋"/>
          <w:color w:val="auto"/>
          <w:highlight w:val="none"/>
          <w:lang w:val="en-US" w:eastAsia="zh-CN"/>
        </w:rPr>
        <w:t>在地口径</w:t>
      </w:r>
      <w:r>
        <w:rPr>
          <w:rFonts w:hint="eastAsia" w:ascii="仿宋" w:hAnsi="仿宋" w:cs="仿宋"/>
          <w:color w:val="auto"/>
          <w:highlight w:val="none"/>
          <w:lang w:eastAsia="zh-CN"/>
        </w:rPr>
        <w:t>）</w:t>
      </w:r>
      <w:r>
        <w:rPr>
          <w:rFonts w:hint="eastAsia" w:ascii="仿宋" w:hAnsi="仿宋" w:cs="仿宋"/>
          <w:color w:val="auto"/>
          <w:highlight w:val="none"/>
        </w:rPr>
        <w:t>，产业结构呈现农业优化升级加快、工业集聚发展加强、现代服务业兴旺发展的特征。</w:t>
      </w:r>
    </w:p>
    <w:p>
      <w:pPr>
        <w:rPr>
          <w:rFonts w:ascii="仿宋" w:hAnsi="仿宋" w:cs="仿宋"/>
          <w:color w:val="auto"/>
          <w:highlight w:val="none"/>
        </w:rPr>
      </w:pPr>
      <w:r>
        <w:rPr>
          <w:rFonts w:hint="eastAsia" w:ascii="仿宋" w:hAnsi="仿宋" w:cs="仿宋"/>
          <w:b/>
          <w:bCs/>
          <w:color w:val="auto"/>
          <w:highlight w:val="none"/>
        </w:rPr>
        <w:t>农业发展提质升级。</w:t>
      </w:r>
      <w:r>
        <w:rPr>
          <w:rFonts w:hint="eastAsia" w:ascii="仿宋" w:hAnsi="仿宋" w:eastAsia="仿宋" w:cs="仿宋"/>
          <w:color w:val="auto"/>
          <w:sz w:val="32"/>
          <w:szCs w:val="32"/>
          <w:highlight w:val="none"/>
        </w:rPr>
        <w:t>农业规模化种植、标准化生产有效推广，省“五位一体”农业示范项目、辣椒标准化示范区项目、省级菜篮子基地农产品质量安全体系建设项目建成。全区共有省、市级农业龙头企业</w:t>
      </w:r>
      <w:r>
        <w:rPr>
          <w:rFonts w:hint="eastAsia" w:ascii="Times New Roman" w:hAnsi="Times New Roman" w:cs="仿宋"/>
          <w:color w:val="auto"/>
          <w:sz w:val="32"/>
          <w:szCs w:val="32"/>
          <w:highlight w:val="none"/>
          <w:lang w:val="en-US" w:eastAsia="zh-CN"/>
        </w:rPr>
        <w:t>13</w:t>
      </w:r>
      <w:r>
        <w:rPr>
          <w:rFonts w:hint="eastAsia" w:ascii="仿宋" w:hAnsi="仿宋" w:eastAsia="仿宋" w:cs="仿宋"/>
          <w:color w:val="auto"/>
          <w:sz w:val="32"/>
          <w:szCs w:val="32"/>
          <w:highlight w:val="none"/>
        </w:rPr>
        <w:t>家（其中省级</w:t>
      </w:r>
      <w:r>
        <w:rPr>
          <w:rFonts w:hint="eastAsia" w:ascii="Times New Roman" w:hAnsi="Times New Roman" w:cs="仿宋"/>
          <w:color w:val="auto"/>
          <w:sz w:val="32"/>
          <w:szCs w:val="32"/>
          <w:highlight w:val="none"/>
          <w:lang w:val="en-US" w:eastAsia="zh-CN"/>
        </w:rPr>
        <w:t>7</w:t>
      </w:r>
      <w:r>
        <w:rPr>
          <w:rFonts w:hint="eastAsia" w:ascii="仿宋" w:hAnsi="仿宋" w:eastAsia="仿宋" w:cs="仿宋"/>
          <w:color w:val="auto"/>
          <w:sz w:val="32"/>
          <w:szCs w:val="32"/>
          <w:highlight w:val="none"/>
        </w:rPr>
        <w:t>家），农民专业合作社</w:t>
      </w:r>
      <w:r>
        <w:rPr>
          <w:rFonts w:hint="eastAsia" w:cs="仿宋"/>
          <w:color w:val="auto"/>
          <w:sz w:val="32"/>
          <w:szCs w:val="32"/>
          <w:highlight w:val="none"/>
          <w:lang w:val="en-US" w:eastAsia="zh-CN"/>
        </w:rPr>
        <w:t>142</w:t>
      </w:r>
      <w:r>
        <w:rPr>
          <w:rFonts w:hint="eastAsia" w:ascii="仿宋" w:hAnsi="仿宋" w:eastAsia="仿宋" w:cs="仿宋"/>
          <w:color w:val="auto"/>
          <w:sz w:val="32"/>
          <w:szCs w:val="32"/>
          <w:highlight w:val="none"/>
        </w:rPr>
        <w:t>家（其中国家级示范</w:t>
      </w:r>
      <w:r>
        <w:rPr>
          <w:rFonts w:hint="eastAsia" w:ascii="仿宋" w:hAnsi="仿宋" w:cs="仿宋"/>
          <w:color w:val="auto"/>
          <w:sz w:val="32"/>
          <w:szCs w:val="32"/>
          <w:highlight w:val="none"/>
          <w:lang w:val="en-US" w:eastAsia="zh-CN"/>
        </w:rPr>
        <w:tab/>
      </w:r>
      <w:r>
        <w:rPr>
          <w:rFonts w:hint="eastAsia" w:ascii="仿宋" w:hAnsi="仿宋" w:eastAsia="仿宋" w:cs="仿宋"/>
          <w:color w:val="auto"/>
          <w:sz w:val="32"/>
          <w:szCs w:val="32"/>
          <w:highlight w:val="none"/>
        </w:rPr>
        <w:t>合作社</w:t>
      </w:r>
      <w:r>
        <w:rPr>
          <w:rFonts w:hint="eastAsia" w:ascii="Times New Roman" w:hAnsi="Times New Roman" w:cs="仿宋"/>
          <w:color w:val="auto"/>
          <w:sz w:val="32"/>
          <w:szCs w:val="32"/>
          <w:highlight w:val="none"/>
          <w:lang w:eastAsia="zh-CN"/>
        </w:rPr>
        <w:t>2</w:t>
      </w:r>
      <w:r>
        <w:rPr>
          <w:rFonts w:hint="eastAsia" w:ascii="仿宋" w:hAnsi="仿宋" w:eastAsia="仿宋" w:cs="仿宋"/>
          <w:color w:val="auto"/>
          <w:sz w:val="32"/>
          <w:szCs w:val="32"/>
          <w:highlight w:val="none"/>
        </w:rPr>
        <w:t>家，省级示范合作社</w:t>
      </w:r>
      <w:r>
        <w:rPr>
          <w:rFonts w:hint="eastAsia" w:ascii="Times New Roman" w:hAnsi="Times New Roman" w:cs="仿宋"/>
          <w:color w:val="auto"/>
          <w:sz w:val="32"/>
          <w:szCs w:val="32"/>
          <w:highlight w:val="none"/>
          <w:lang w:eastAsia="zh-CN"/>
        </w:rPr>
        <w:t>2</w:t>
      </w:r>
      <w:r>
        <w:rPr>
          <w:rFonts w:hint="eastAsia" w:ascii="仿宋" w:hAnsi="仿宋" w:eastAsia="仿宋" w:cs="仿宋"/>
          <w:color w:val="auto"/>
          <w:sz w:val="32"/>
          <w:szCs w:val="32"/>
          <w:highlight w:val="none"/>
        </w:rPr>
        <w:t>家），培养惠农信息社</w:t>
      </w:r>
      <w:r>
        <w:rPr>
          <w:rFonts w:hint="eastAsia" w:ascii="Times New Roman" w:hAnsi="Times New Roman" w:cs="仿宋"/>
          <w:color w:val="auto"/>
          <w:sz w:val="32"/>
          <w:szCs w:val="32"/>
          <w:highlight w:val="none"/>
          <w:lang w:eastAsia="zh-CN"/>
        </w:rPr>
        <w:t>60</w:t>
      </w:r>
      <w:r>
        <w:rPr>
          <w:rFonts w:hint="eastAsia" w:ascii="仿宋" w:hAnsi="仿宋" w:eastAsia="仿宋" w:cs="仿宋"/>
          <w:color w:val="auto"/>
          <w:sz w:val="32"/>
          <w:szCs w:val="32"/>
          <w:highlight w:val="none"/>
        </w:rPr>
        <w:t>家，省、市级示范性家庭农场</w:t>
      </w:r>
      <w:r>
        <w:rPr>
          <w:rFonts w:hint="eastAsia" w:ascii="Times New Roman" w:hAnsi="Times New Roman" w:cs="仿宋"/>
          <w:color w:val="auto"/>
          <w:sz w:val="32"/>
          <w:szCs w:val="32"/>
          <w:highlight w:val="none"/>
          <w:lang w:eastAsia="zh-CN"/>
        </w:rPr>
        <w:t>31</w:t>
      </w:r>
      <w:r>
        <w:rPr>
          <w:rFonts w:hint="eastAsia" w:ascii="仿宋" w:hAnsi="仿宋" w:eastAsia="仿宋" w:cs="仿宋"/>
          <w:color w:val="auto"/>
          <w:sz w:val="32"/>
          <w:szCs w:val="32"/>
          <w:highlight w:val="none"/>
        </w:rPr>
        <w:t>家（其中省级</w:t>
      </w:r>
      <w:r>
        <w:rPr>
          <w:rFonts w:hint="eastAsia" w:ascii="Times New Roman" w:hAnsi="Times New Roman" w:cs="仿宋"/>
          <w:color w:val="auto"/>
          <w:sz w:val="32"/>
          <w:szCs w:val="32"/>
          <w:highlight w:val="none"/>
          <w:lang w:eastAsia="zh-CN"/>
        </w:rPr>
        <w:t>11</w:t>
      </w:r>
      <w:r>
        <w:rPr>
          <w:rFonts w:hint="eastAsia" w:ascii="仿宋" w:hAnsi="仿宋" w:eastAsia="仿宋" w:cs="仿宋"/>
          <w:color w:val="auto"/>
          <w:sz w:val="32"/>
          <w:szCs w:val="32"/>
          <w:highlight w:val="none"/>
        </w:rPr>
        <w:t>家）。成功创建国家级“对虾现代农业产业园”、省级“莲藕现代农业产业园”。</w:t>
      </w:r>
    </w:p>
    <w:p>
      <w:pPr>
        <w:rPr>
          <w:rFonts w:hint="eastAsia"/>
          <w:color w:val="auto"/>
          <w:highlight w:val="none"/>
        </w:rPr>
      </w:pPr>
      <w:r>
        <w:rPr>
          <w:rFonts w:hint="eastAsia"/>
          <w:b/>
          <w:bCs/>
          <w:color w:val="auto"/>
          <w:szCs w:val="22"/>
          <w:highlight w:val="none"/>
        </w:rPr>
        <w:t>工业发展集聚态势。</w:t>
      </w:r>
      <w:r>
        <w:rPr>
          <w:rFonts w:hint="eastAsia"/>
          <w:color w:val="auto"/>
          <w:highlight w:val="none"/>
        </w:rPr>
        <w:t>坡头区科技产业园成功纳入《国家开发区审核公告目录》，正式成为省级产业转移工业园，</w:t>
      </w:r>
      <w:r>
        <w:rPr>
          <w:rFonts w:hint="eastAsia"/>
          <w:b w:val="0"/>
          <w:bCs w:val="0"/>
          <w:color w:val="auto"/>
          <w:szCs w:val="22"/>
          <w:highlight w:val="none"/>
        </w:rPr>
        <w:t>产业园区持续扩能增效。</w:t>
      </w:r>
      <w:r>
        <w:rPr>
          <w:rFonts w:hint="eastAsia"/>
          <w:color w:val="auto"/>
          <w:highlight w:val="none"/>
        </w:rPr>
        <w:t>截</w:t>
      </w:r>
      <w:r>
        <w:rPr>
          <w:rFonts w:hint="eastAsia"/>
          <w:color w:val="auto"/>
          <w:highlight w:val="none"/>
          <w:lang w:val="en-US" w:eastAsia="zh-CN"/>
        </w:rPr>
        <w:t>至</w:t>
      </w:r>
      <w:r>
        <w:rPr>
          <w:rFonts w:hint="eastAsia" w:ascii="Times New Roman" w:hAnsi="Times New Roman"/>
          <w:color w:val="auto"/>
          <w:highlight w:val="none"/>
          <w:lang w:eastAsia="zh-CN"/>
        </w:rPr>
        <w:t>2020</w:t>
      </w:r>
      <w:r>
        <w:rPr>
          <w:rFonts w:hint="eastAsia"/>
          <w:color w:val="auto"/>
          <w:highlight w:val="none"/>
        </w:rPr>
        <w:t>年</w:t>
      </w:r>
      <w:r>
        <w:rPr>
          <w:rFonts w:hint="eastAsia"/>
          <w:color w:val="auto"/>
          <w:highlight w:val="none"/>
          <w:lang w:eastAsia="zh-CN"/>
        </w:rPr>
        <w:t>，</w:t>
      </w:r>
      <w:r>
        <w:rPr>
          <w:rFonts w:hint="eastAsia"/>
          <w:color w:val="auto"/>
          <w:highlight w:val="none"/>
        </w:rPr>
        <w:t>园区共引进项目</w:t>
      </w:r>
      <w:r>
        <w:rPr>
          <w:rFonts w:hint="eastAsia" w:ascii="Times New Roman" w:hAnsi="Times New Roman"/>
          <w:color w:val="auto"/>
          <w:highlight w:val="none"/>
          <w:lang w:val="en-US" w:eastAsia="zh-CN"/>
        </w:rPr>
        <w:t>106</w:t>
      </w:r>
      <w:r>
        <w:rPr>
          <w:rFonts w:hint="eastAsia"/>
          <w:color w:val="auto"/>
          <w:highlight w:val="none"/>
        </w:rPr>
        <w:t>个，其中投产项目</w:t>
      </w:r>
      <w:r>
        <w:rPr>
          <w:rFonts w:hint="eastAsia" w:ascii="Times New Roman" w:hAnsi="Times New Roman"/>
          <w:color w:val="auto"/>
          <w:highlight w:val="none"/>
          <w:lang w:val="en-US" w:eastAsia="zh-CN"/>
        </w:rPr>
        <w:t>64</w:t>
      </w:r>
      <w:r>
        <w:rPr>
          <w:rFonts w:hint="eastAsia"/>
          <w:color w:val="auto"/>
          <w:highlight w:val="none"/>
        </w:rPr>
        <w:t>个，</w:t>
      </w:r>
      <w:r>
        <w:rPr>
          <w:rFonts w:hint="eastAsia"/>
          <w:b w:val="0"/>
          <w:bCs w:val="0"/>
          <w:color w:val="auto"/>
          <w:szCs w:val="22"/>
          <w:highlight w:val="none"/>
        </w:rPr>
        <w:t>已建成调试项目</w:t>
      </w:r>
      <w:r>
        <w:rPr>
          <w:rFonts w:hint="eastAsia" w:ascii="Times New Roman" w:hAnsi="Times New Roman"/>
          <w:b w:val="0"/>
          <w:bCs w:val="0"/>
          <w:color w:val="auto"/>
          <w:szCs w:val="22"/>
          <w:highlight w:val="none"/>
          <w:lang w:eastAsia="zh-CN"/>
        </w:rPr>
        <w:t>4</w:t>
      </w:r>
      <w:r>
        <w:rPr>
          <w:rFonts w:hint="eastAsia"/>
          <w:b w:val="0"/>
          <w:bCs w:val="0"/>
          <w:color w:val="auto"/>
          <w:szCs w:val="22"/>
          <w:highlight w:val="none"/>
        </w:rPr>
        <w:t>个，正在动工建设的项目</w:t>
      </w:r>
      <w:r>
        <w:rPr>
          <w:rFonts w:hint="eastAsia" w:ascii="Times New Roman" w:hAnsi="Times New Roman"/>
          <w:b w:val="0"/>
          <w:bCs w:val="0"/>
          <w:color w:val="auto"/>
          <w:szCs w:val="22"/>
          <w:highlight w:val="none"/>
          <w:lang w:val="en-US" w:eastAsia="zh-CN"/>
        </w:rPr>
        <w:t>17</w:t>
      </w:r>
      <w:r>
        <w:rPr>
          <w:rFonts w:hint="eastAsia"/>
          <w:b w:val="0"/>
          <w:bCs w:val="0"/>
          <w:color w:val="auto"/>
          <w:szCs w:val="22"/>
          <w:highlight w:val="none"/>
        </w:rPr>
        <w:t>个，筹建项目</w:t>
      </w:r>
      <w:r>
        <w:rPr>
          <w:rFonts w:hint="eastAsia" w:ascii="Times New Roman" w:hAnsi="Times New Roman"/>
          <w:b w:val="0"/>
          <w:bCs w:val="0"/>
          <w:color w:val="auto"/>
          <w:szCs w:val="22"/>
          <w:highlight w:val="none"/>
          <w:lang w:eastAsia="zh-CN"/>
        </w:rPr>
        <w:t>4</w:t>
      </w:r>
      <w:r>
        <w:rPr>
          <w:rFonts w:hint="eastAsia"/>
          <w:b w:val="0"/>
          <w:bCs w:val="0"/>
          <w:color w:val="auto"/>
          <w:szCs w:val="22"/>
          <w:highlight w:val="none"/>
        </w:rPr>
        <w:t>个，规模以上企业</w:t>
      </w:r>
      <w:r>
        <w:rPr>
          <w:rFonts w:hint="eastAsia" w:ascii="Times New Roman" w:hAnsi="Times New Roman"/>
          <w:color w:val="auto"/>
          <w:highlight w:val="none"/>
          <w:lang w:eastAsia="zh-CN"/>
        </w:rPr>
        <w:t>35</w:t>
      </w:r>
      <w:r>
        <w:rPr>
          <w:rFonts w:hint="eastAsia"/>
          <w:color w:val="auto"/>
          <w:highlight w:val="none"/>
        </w:rPr>
        <w:t>家。龙头园区完成园区</w:t>
      </w:r>
      <w:r>
        <w:rPr>
          <w:rFonts w:hint="eastAsia" w:ascii="Times New Roman" w:hAnsi="Times New Roman"/>
          <w:color w:val="auto"/>
          <w:highlight w:val="none"/>
          <w:lang w:eastAsia="zh-CN"/>
        </w:rPr>
        <w:t>11000</w:t>
      </w:r>
      <w:r>
        <w:rPr>
          <w:rFonts w:hint="eastAsia"/>
          <w:color w:val="auto"/>
          <w:highlight w:val="none"/>
        </w:rPr>
        <w:t>亩控制性规划编制工作，基础设施不断完善；官渡园区扩容提质，园区内</w:t>
      </w:r>
      <w:r>
        <w:rPr>
          <w:rFonts w:hint="eastAsia"/>
          <w:color w:val="auto"/>
          <w:szCs w:val="22"/>
          <w:highlight w:val="none"/>
        </w:rPr>
        <w:t>鸿智</w:t>
      </w:r>
      <w:r>
        <w:rPr>
          <w:rFonts w:hint="eastAsia"/>
          <w:color w:val="auto"/>
          <w:szCs w:val="22"/>
          <w:highlight w:val="none"/>
          <w:lang w:val="en-US" w:eastAsia="zh-CN"/>
        </w:rPr>
        <w:t>电器</w:t>
      </w:r>
      <w:r>
        <w:rPr>
          <w:rFonts w:hint="eastAsia"/>
          <w:color w:val="auto"/>
          <w:highlight w:val="none"/>
        </w:rPr>
        <w:t>成功挂牌“新三板”，成为区内第一家上市区属公司。</w:t>
      </w:r>
    </w:p>
    <w:p>
      <w:pPr>
        <w:rPr>
          <w:rFonts w:hint="eastAsia"/>
          <w:color w:val="auto"/>
          <w:highlight w:val="none"/>
        </w:rPr>
      </w:pPr>
      <w:r>
        <w:rPr>
          <w:rFonts w:hint="eastAsia"/>
          <w:b/>
          <w:bCs/>
          <w:color w:val="auto"/>
          <w:szCs w:val="22"/>
          <w:highlight w:val="none"/>
          <w:lang w:val="en-US" w:eastAsia="zh-CN"/>
        </w:rPr>
        <w:t>创新成果不断涌现。</w:t>
      </w:r>
      <w:r>
        <w:rPr>
          <w:rFonts w:hint="eastAsia"/>
          <w:color w:val="auto"/>
          <w:highlight w:val="none"/>
        </w:rPr>
        <w:t>大力推进省创新驱动发展“八大举措”和市“高新技术产业培育计划”。截至</w:t>
      </w:r>
      <w:r>
        <w:rPr>
          <w:rFonts w:hint="eastAsia" w:ascii="Times New Roman" w:hAnsi="Times New Roman"/>
          <w:color w:val="auto"/>
          <w:highlight w:val="none"/>
          <w:lang w:eastAsia="zh-CN"/>
        </w:rPr>
        <w:t>2020</w:t>
      </w:r>
      <w:r>
        <w:rPr>
          <w:rFonts w:hint="eastAsia"/>
          <w:color w:val="auto"/>
          <w:highlight w:val="none"/>
        </w:rPr>
        <w:t>年，</w:t>
      </w:r>
      <w:r>
        <w:rPr>
          <w:rFonts w:hint="eastAsia" w:ascii="Times New Roman" w:hAnsi="Times New Roman"/>
          <w:color w:val="auto"/>
          <w:szCs w:val="22"/>
          <w:highlight w:val="none"/>
          <w:lang w:val="en-US" w:eastAsia="zh-CN"/>
        </w:rPr>
        <w:t>28</w:t>
      </w:r>
      <w:r>
        <w:rPr>
          <w:rFonts w:hint="eastAsia"/>
          <w:color w:val="auto"/>
          <w:highlight w:val="none"/>
        </w:rPr>
        <w:t>家企业获得了国家级高新技术企业认定，</w:t>
      </w:r>
      <w:r>
        <w:rPr>
          <w:rFonts w:hint="eastAsia" w:ascii="Times New Roman" w:hAnsi="Times New Roman"/>
          <w:color w:val="auto"/>
          <w:highlight w:val="none"/>
          <w:lang w:eastAsia="zh-CN"/>
        </w:rPr>
        <w:t>21</w:t>
      </w:r>
      <w:r>
        <w:rPr>
          <w:rFonts w:hint="eastAsia"/>
          <w:color w:val="auto"/>
          <w:highlight w:val="none"/>
        </w:rPr>
        <w:t>家企业</w:t>
      </w:r>
      <w:r>
        <w:rPr>
          <w:rFonts w:hint="eastAsia" w:ascii="Times New Roman" w:hAnsi="Times New Roman"/>
          <w:color w:val="auto"/>
          <w:highlight w:val="none"/>
          <w:lang w:eastAsia="zh-CN"/>
        </w:rPr>
        <w:t>1</w:t>
      </w:r>
      <w:r>
        <w:rPr>
          <w:rFonts w:hint="eastAsia" w:ascii="Times New Roman" w:hAnsi="Times New Roman"/>
          <w:color w:val="auto"/>
          <w:highlight w:val="none"/>
          <w:lang w:val="en-US" w:eastAsia="zh-CN"/>
        </w:rPr>
        <w:t>24</w:t>
      </w:r>
      <w:r>
        <w:rPr>
          <w:rFonts w:hint="eastAsia"/>
          <w:color w:val="auto"/>
          <w:highlight w:val="none"/>
        </w:rPr>
        <w:t>个产品获得省、市高新技术产品认定</w:t>
      </w:r>
      <w:r>
        <w:rPr>
          <w:rFonts w:hint="eastAsia"/>
          <w:color w:val="auto"/>
          <w:highlight w:val="none"/>
          <w:lang w:eastAsia="zh-CN"/>
        </w:rPr>
        <w:t>，</w:t>
      </w:r>
      <w:r>
        <w:rPr>
          <w:rFonts w:hint="eastAsia" w:ascii="Times New Roman" w:hAnsi="Times New Roman"/>
          <w:color w:val="auto"/>
          <w:highlight w:val="none"/>
          <w:lang w:eastAsia="zh-CN"/>
        </w:rPr>
        <w:t>23</w:t>
      </w:r>
      <w:r>
        <w:rPr>
          <w:rFonts w:hint="eastAsia"/>
          <w:color w:val="auto"/>
          <w:highlight w:val="none"/>
          <w:lang w:eastAsia="zh-CN"/>
        </w:rPr>
        <w:t>个</w:t>
      </w:r>
      <w:r>
        <w:rPr>
          <w:rFonts w:hint="eastAsia"/>
          <w:color w:val="auto"/>
          <w:szCs w:val="22"/>
          <w:highlight w:val="none"/>
          <w:lang w:eastAsia="zh-CN"/>
        </w:rPr>
        <w:t>产品申报广东省名优高新技术产品正在评审中。</w:t>
      </w:r>
      <w:r>
        <w:rPr>
          <w:rFonts w:hint="eastAsia"/>
          <w:color w:val="auto"/>
          <w:szCs w:val="22"/>
          <w:highlight w:val="none"/>
        </w:rPr>
        <w:t>“十三五”期间获得省、市科技项目立项</w:t>
      </w:r>
      <w:r>
        <w:rPr>
          <w:rFonts w:hint="eastAsia" w:ascii="Times New Roman" w:hAnsi="Times New Roman"/>
          <w:color w:val="auto"/>
          <w:szCs w:val="22"/>
          <w:highlight w:val="none"/>
          <w:lang w:eastAsia="zh-CN"/>
        </w:rPr>
        <w:t>97</w:t>
      </w:r>
      <w:r>
        <w:rPr>
          <w:rFonts w:hint="eastAsia"/>
          <w:color w:val="auto"/>
          <w:szCs w:val="22"/>
          <w:highlight w:val="none"/>
        </w:rPr>
        <w:t>个，获得补助资金</w:t>
      </w:r>
      <w:r>
        <w:rPr>
          <w:rFonts w:hint="eastAsia" w:ascii="Times New Roman" w:hAnsi="Times New Roman"/>
          <w:color w:val="auto"/>
          <w:szCs w:val="22"/>
          <w:highlight w:val="none"/>
          <w:lang w:eastAsia="zh-CN"/>
        </w:rPr>
        <w:t>2723.8</w:t>
      </w:r>
      <w:r>
        <w:rPr>
          <w:rFonts w:hint="eastAsia"/>
          <w:color w:val="auto"/>
          <w:szCs w:val="22"/>
          <w:highlight w:val="none"/>
        </w:rPr>
        <w:t>万元，省级、市级工程技术研究开发中心总数达到</w:t>
      </w:r>
      <w:r>
        <w:rPr>
          <w:rFonts w:hint="eastAsia" w:ascii="Times New Roman" w:hAnsi="Times New Roman"/>
          <w:color w:val="auto"/>
          <w:szCs w:val="22"/>
          <w:highlight w:val="none"/>
          <w:lang w:eastAsia="zh-CN"/>
        </w:rPr>
        <w:t>15</w:t>
      </w:r>
      <w:r>
        <w:rPr>
          <w:rFonts w:hint="eastAsia"/>
          <w:color w:val="auto"/>
          <w:szCs w:val="22"/>
          <w:highlight w:val="none"/>
        </w:rPr>
        <w:t>个。广东省重点实验室</w:t>
      </w:r>
      <w:r>
        <w:rPr>
          <w:rFonts w:hint="eastAsia" w:ascii="Times New Roman" w:hAnsi="Times New Roman"/>
          <w:color w:val="auto"/>
          <w:szCs w:val="22"/>
          <w:highlight w:val="none"/>
          <w:lang w:eastAsia="zh-CN"/>
        </w:rPr>
        <w:t>2</w:t>
      </w:r>
      <w:r>
        <w:rPr>
          <w:rFonts w:hint="eastAsia"/>
          <w:color w:val="auto"/>
          <w:szCs w:val="22"/>
          <w:highlight w:val="none"/>
        </w:rPr>
        <w:t>个，</w:t>
      </w:r>
      <w:r>
        <w:rPr>
          <w:rFonts w:hint="eastAsia"/>
          <w:color w:val="auto"/>
          <w:szCs w:val="22"/>
          <w:highlight w:val="none"/>
          <w:lang w:eastAsia="zh-CN"/>
        </w:rPr>
        <w:t>分别为</w:t>
      </w:r>
      <w:r>
        <w:rPr>
          <w:rFonts w:hint="eastAsia"/>
          <w:color w:val="auto"/>
          <w:szCs w:val="22"/>
          <w:highlight w:val="none"/>
        </w:rPr>
        <w:t>海上高温高压油气藏勘探开发企业重点实验室</w:t>
      </w:r>
      <w:r>
        <w:rPr>
          <w:rFonts w:hint="eastAsia"/>
          <w:color w:val="auto"/>
          <w:szCs w:val="22"/>
          <w:highlight w:val="none"/>
          <w:lang w:eastAsia="zh-CN"/>
        </w:rPr>
        <w:t>、</w:t>
      </w:r>
      <w:r>
        <w:rPr>
          <w:rFonts w:hint="eastAsia"/>
          <w:color w:val="auto"/>
          <w:szCs w:val="22"/>
          <w:highlight w:val="none"/>
        </w:rPr>
        <w:t>海洋生物废弃物综合利用重点实验室</w:t>
      </w:r>
      <w:r>
        <w:rPr>
          <w:rFonts w:hint="eastAsia"/>
          <w:color w:val="auto"/>
          <w:szCs w:val="22"/>
          <w:highlight w:val="none"/>
          <w:lang w:eastAsia="zh-CN"/>
        </w:rPr>
        <w:t>，</w:t>
      </w:r>
      <w:r>
        <w:rPr>
          <w:rFonts w:hint="eastAsia"/>
          <w:color w:val="auto"/>
          <w:szCs w:val="22"/>
          <w:highlight w:val="none"/>
          <w:lang w:val="en-US" w:eastAsia="zh-CN"/>
        </w:rPr>
        <w:t>在湛江</w:t>
      </w:r>
      <w:r>
        <w:rPr>
          <w:rFonts w:hint="eastAsia"/>
          <w:color w:val="auto"/>
          <w:szCs w:val="22"/>
          <w:highlight w:val="none"/>
        </w:rPr>
        <w:t>各县（市、区）中占比最高。</w:t>
      </w:r>
      <w:r>
        <w:rPr>
          <w:rFonts w:hint="eastAsia"/>
          <w:color w:val="auto"/>
          <w:highlight w:val="none"/>
        </w:rPr>
        <w:t>工业实施产业转型升级行动计划，高技术制造业年均增速高于整体工业增速。</w:t>
      </w:r>
    </w:p>
    <w:p>
      <w:pPr>
        <w:rPr>
          <w:color w:val="auto"/>
          <w:highlight w:val="none"/>
        </w:rPr>
      </w:pPr>
      <w:r>
        <w:rPr>
          <w:rFonts w:hint="eastAsia"/>
          <w:b/>
          <w:bCs/>
          <w:color w:val="auto"/>
          <w:highlight w:val="none"/>
        </w:rPr>
        <w:t>服务业</w:t>
      </w:r>
      <w:r>
        <w:rPr>
          <w:rFonts w:hint="eastAsia"/>
          <w:b/>
          <w:bCs/>
          <w:color w:val="auto"/>
          <w:highlight w:val="none"/>
          <w:lang w:val="en-US" w:eastAsia="zh-CN"/>
        </w:rPr>
        <w:t>提速</w:t>
      </w:r>
      <w:r>
        <w:rPr>
          <w:rFonts w:hint="eastAsia"/>
          <w:b/>
          <w:bCs/>
          <w:color w:val="auto"/>
          <w:highlight w:val="none"/>
        </w:rPr>
        <w:t>发展</w:t>
      </w:r>
      <w:r>
        <w:rPr>
          <w:rFonts w:hint="eastAsia"/>
          <w:color w:val="auto"/>
          <w:highlight w:val="none"/>
        </w:rPr>
        <w:t>。服务业升级加快，会展经济、网络经济、旅游服务以及房地产等新兴服务业异军突起，</w:t>
      </w:r>
      <w:r>
        <w:rPr>
          <w:rFonts w:hint="eastAsia" w:ascii="Times New Roman" w:hAnsi="Times New Roman"/>
          <w:color w:val="auto"/>
          <w:szCs w:val="22"/>
          <w:highlight w:val="none"/>
          <w:lang w:eastAsia="zh-CN"/>
        </w:rPr>
        <w:t>2020</w:t>
      </w:r>
      <w:r>
        <w:rPr>
          <w:rFonts w:hint="eastAsia"/>
          <w:color w:val="auto"/>
          <w:szCs w:val="22"/>
          <w:highlight w:val="none"/>
        </w:rPr>
        <w:t>年</w:t>
      </w:r>
      <w:r>
        <w:rPr>
          <w:rFonts w:hint="eastAsia"/>
          <w:color w:val="auto"/>
          <w:szCs w:val="22"/>
          <w:highlight w:val="none"/>
          <w:lang w:eastAsia="zh-CN"/>
        </w:rPr>
        <w:t>现代服务业</w:t>
      </w:r>
      <w:r>
        <w:rPr>
          <w:rFonts w:hint="eastAsia"/>
          <w:color w:val="auto"/>
          <w:szCs w:val="22"/>
          <w:highlight w:val="none"/>
        </w:rPr>
        <w:t>增加值实现</w:t>
      </w:r>
      <w:r>
        <w:rPr>
          <w:rFonts w:hint="eastAsia" w:ascii="Times New Roman" w:hAnsi="Times New Roman"/>
          <w:color w:val="auto"/>
          <w:highlight w:val="none"/>
          <w:lang w:val="en-US" w:eastAsia="zh-CN"/>
        </w:rPr>
        <w:t>55.4</w:t>
      </w:r>
      <w:r>
        <w:rPr>
          <w:rFonts w:hint="eastAsia"/>
          <w:color w:val="auto"/>
          <w:highlight w:val="none"/>
        </w:rPr>
        <w:t>亿元，</w:t>
      </w:r>
      <w:r>
        <w:rPr>
          <w:rFonts w:hint="eastAsia"/>
          <w:color w:val="auto"/>
          <w:szCs w:val="22"/>
          <w:highlight w:val="none"/>
        </w:rPr>
        <w:t>比</w:t>
      </w:r>
      <w:r>
        <w:rPr>
          <w:rFonts w:hint="eastAsia" w:ascii="Times New Roman" w:hAnsi="Times New Roman"/>
          <w:color w:val="auto"/>
          <w:szCs w:val="22"/>
          <w:highlight w:val="none"/>
          <w:lang w:eastAsia="zh-CN"/>
        </w:rPr>
        <w:t>2015</w:t>
      </w:r>
      <w:r>
        <w:rPr>
          <w:rFonts w:hint="eastAsia"/>
          <w:color w:val="auto"/>
          <w:szCs w:val="22"/>
          <w:highlight w:val="none"/>
        </w:rPr>
        <w:t>年的</w:t>
      </w:r>
      <w:r>
        <w:rPr>
          <w:rFonts w:hint="eastAsia" w:ascii="Times New Roman" w:hAnsi="Times New Roman"/>
          <w:color w:val="auto"/>
          <w:highlight w:val="none"/>
          <w:lang w:val="en-US" w:eastAsia="zh-CN"/>
        </w:rPr>
        <w:t>24.1</w:t>
      </w:r>
      <w:r>
        <w:rPr>
          <w:rFonts w:hint="eastAsia"/>
          <w:color w:val="auto"/>
          <w:szCs w:val="22"/>
          <w:highlight w:val="none"/>
        </w:rPr>
        <w:t>亿元</w:t>
      </w:r>
      <w:r>
        <w:rPr>
          <w:rFonts w:hint="eastAsia"/>
          <w:color w:val="auto"/>
          <w:highlight w:val="none"/>
        </w:rPr>
        <w:t>增加</w:t>
      </w:r>
      <w:r>
        <w:rPr>
          <w:rFonts w:hint="eastAsia" w:ascii="Times New Roman" w:hAnsi="Times New Roman"/>
          <w:color w:val="auto"/>
          <w:highlight w:val="none"/>
          <w:lang w:val="en-US" w:eastAsia="zh-CN"/>
        </w:rPr>
        <w:t>229.9</w:t>
      </w:r>
      <w:r>
        <w:rPr>
          <w:rFonts w:hint="eastAsia" w:ascii="Times New Roman" w:hAnsi="Times New Roman"/>
          <w:color w:val="auto"/>
          <w:highlight w:val="none"/>
          <w:lang w:eastAsia="zh-CN"/>
        </w:rPr>
        <w:t>%</w:t>
      </w:r>
      <w:r>
        <w:rPr>
          <w:rFonts w:hint="eastAsia"/>
          <w:color w:val="auto"/>
          <w:highlight w:val="none"/>
        </w:rPr>
        <w:t>。</w:t>
      </w:r>
      <w:r>
        <w:rPr>
          <w:rFonts w:hint="eastAsia"/>
          <w:b/>
          <w:bCs/>
          <w:color w:val="auto"/>
          <w:highlight w:val="none"/>
        </w:rPr>
        <w:t>特色旅游业</w:t>
      </w:r>
      <w:r>
        <w:rPr>
          <w:rFonts w:hint="eastAsia"/>
          <w:b/>
          <w:bCs/>
          <w:color w:val="auto"/>
          <w:highlight w:val="none"/>
          <w:lang w:val="en-US" w:eastAsia="zh-CN"/>
        </w:rPr>
        <w:t>快速</w:t>
      </w:r>
      <w:r>
        <w:rPr>
          <w:rFonts w:hint="eastAsia"/>
          <w:b/>
          <w:bCs/>
          <w:color w:val="auto"/>
          <w:highlight w:val="none"/>
        </w:rPr>
        <w:t>发展</w:t>
      </w:r>
      <w:r>
        <w:rPr>
          <w:rFonts w:hint="eastAsia"/>
          <w:b/>
          <w:bCs/>
          <w:color w:val="auto"/>
          <w:highlight w:val="none"/>
          <w:lang w:eastAsia="zh-CN"/>
        </w:rPr>
        <w:t>，</w:t>
      </w:r>
      <w:r>
        <w:rPr>
          <w:rFonts w:hint="eastAsia"/>
          <w:color w:val="auto"/>
          <w:szCs w:val="22"/>
          <w:highlight w:val="none"/>
        </w:rPr>
        <w:t>“十三五”期间全区接待游客从</w:t>
      </w:r>
      <w:r>
        <w:rPr>
          <w:rFonts w:hint="eastAsia" w:ascii="Times New Roman" w:hAnsi="Times New Roman"/>
          <w:color w:val="auto"/>
          <w:szCs w:val="22"/>
          <w:highlight w:val="none"/>
          <w:lang w:eastAsia="zh-CN"/>
        </w:rPr>
        <w:t>2016</w:t>
      </w:r>
      <w:r>
        <w:rPr>
          <w:rFonts w:hint="eastAsia"/>
          <w:color w:val="auto"/>
          <w:szCs w:val="22"/>
          <w:highlight w:val="none"/>
        </w:rPr>
        <w:t>年的</w:t>
      </w:r>
      <w:r>
        <w:rPr>
          <w:rFonts w:hint="eastAsia" w:ascii="Times New Roman" w:hAnsi="Times New Roman"/>
          <w:color w:val="auto"/>
          <w:highlight w:val="none"/>
          <w:lang w:eastAsia="zh-CN"/>
        </w:rPr>
        <w:t>246.6</w:t>
      </w:r>
      <w:r>
        <w:rPr>
          <w:rFonts w:hint="eastAsia"/>
          <w:color w:val="auto"/>
          <w:szCs w:val="22"/>
          <w:highlight w:val="none"/>
        </w:rPr>
        <w:t>万人增至</w:t>
      </w:r>
      <w:r>
        <w:rPr>
          <w:rFonts w:hint="eastAsia" w:ascii="Times New Roman" w:hAnsi="Times New Roman"/>
          <w:color w:val="auto"/>
          <w:highlight w:val="none"/>
          <w:lang w:eastAsia="zh-CN"/>
        </w:rPr>
        <w:t>2020</w:t>
      </w:r>
      <w:r>
        <w:rPr>
          <w:rFonts w:hint="eastAsia"/>
          <w:color w:val="auto"/>
          <w:highlight w:val="none"/>
        </w:rPr>
        <w:t>年</w:t>
      </w:r>
      <w:r>
        <w:rPr>
          <w:rFonts w:hint="eastAsia" w:ascii="Times New Roman" w:hAnsi="Times New Roman"/>
          <w:color w:val="auto"/>
          <w:highlight w:val="none"/>
          <w:lang w:val="en-US" w:eastAsia="zh-CN"/>
        </w:rPr>
        <w:t>288.3</w:t>
      </w:r>
      <w:r>
        <w:rPr>
          <w:rFonts w:hint="eastAsia"/>
          <w:color w:val="auto"/>
          <w:highlight w:val="none"/>
        </w:rPr>
        <w:t>万人，</w:t>
      </w:r>
      <w:r>
        <w:rPr>
          <w:rFonts w:hint="eastAsia"/>
          <w:color w:val="auto"/>
          <w:szCs w:val="22"/>
          <w:highlight w:val="none"/>
        </w:rPr>
        <w:t>旅游收入从</w:t>
      </w:r>
      <w:r>
        <w:rPr>
          <w:rFonts w:hint="eastAsia" w:ascii="Times New Roman" w:hAnsi="Times New Roman"/>
          <w:color w:val="auto"/>
          <w:szCs w:val="22"/>
          <w:highlight w:val="none"/>
          <w:lang w:eastAsia="zh-CN"/>
        </w:rPr>
        <w:t>2016</w:t>
      </w:r>
      <w:r>
        <w:rPr>
          <w:rFonts w:hint="eastAsia"/>
          <w:color w:val="auto"/>
          <w:szCs w:val="22"/>
          <w:highlight w:val="none"/>
        </w:rPr>
        <w:t>年的</w:t>
      </w:r>
      <w:r>
        <w:rPr>
          <w:rFonts w:hint="eastAsia" w:ascii="Times New Roman" w:hAnsi="Times New Roman"/>
          <w:color w:val="auto"/>
          <w:highlight w:val="none"/>
          <w:lang w:eastAsia="zh-CN"/>
        </w:rPr>
        <w:t>21.4</w:t>
      </w:r>
      <w:r>
        <w:rPr>
          <w:rFonts w:hint="eastAsia"/>
          <w:color w:val="auto"/>
          <w:highlight w:val="none"/>
        </w:rPr>
        <w:t>亿</w:t>
      </w:r>
      <w:r>
        <w:rPr>
          <w:rFonts w:hint="eastAsia"/>
          <w:color w:val="auto"/>
          <w:szCs w:val="22"/>
          <w:highlight w:val="none"/>
        </w:rPr>
        <w:t>元增至</w:t>
      </w:r>
      <w:r>
        <w:rPr>
          <w:rFonts w:hint="eastAsia" w:ascii="Times New Roman" w:hAnsi="Times New Roman"/>
          <w:color w:val="auto"/>
          <w:szCs w:val="22"/>
          <w:highlight w:val="none"/>
          <w:lang w:eastAsia="zh-CN"/>
        </w:rPr>
        <w:t>2020</w:t>
      </w:r>
      <w:r>
        <w:rPr>
          <w:rFonts w:hint="eastAsia"/>
          <w:color w:val="auto"/>
          <w:szCs w:val="22"/>
          <w:highlight w:val="none"/>
        </w:rPr>
        <w:t>年</w:t>
      </w:r>
      <w:r>
        <w:rPr>
          <w:rFonts w:hint="eastAsia" w:ascii="Times New Roman" w:hAnsi="Times New Roman"/>
          <w:color w:val="auto"/>
          <w:highlight w:val="none"/>
          <w:lang w:val="en-US" w:eastAsia="zh-CN"/>
        </w:rPr>
        <w:t>26.6</w:t>
      </w:r>
      <w:r>
        <w:rPr>
          <w:rFonts w:hint="eastAsia"/>
          <w:color w:val="auto"/>
          <w:szCs w:val="22"/>
          <w:highlight w:val="none"/>
        </w:rPr>
        <w:t>亿</w:t>
      </w:r>
      <w:r>
        <w:rPr>
          <w:rFonts w:hint="eastAsia"/>
          <w:color w:val="auto"/>
          <w:highlight w:val="none"/>
        </w:rPr>
        <w:t>元。乾塘现代荷花旅游文化节成功举办，南寨村因荷花旅游资源被评为广东省旅游特色村。</w:t>
      </w:r>
      <w:r>
        <w:rPr>
          <w:rFonts w:hint="eastAsia"/>
          <w:color w:val="auto"/>
          <w:highlight w:val="none"/>
          <w:lang w:val="en-US" w:eastAsia="zh-CN"/>
        </w:rPr>
        <w:t>泮北村中共广东南路特委旧址展馆对外开放，红色旅游事业蓬勃发展。</w:t>
      </w:r>
      <w:r>
        <w:rPr>
          <w:rFonts w:hint="eastAsia"/>
          <w:b/>
          <w:bCs/>
          <w:color w:val="auto"/>
          <w:highlight w:val="none"/>
        </w:rPr>
        <w:t>房地产业</w:t>
      </w:r>
      <w:r>
        <w:rPr>
          <w:rFonts w:hint="eastAsia"/>
          <w:b/>
          <w:bCs/>
          <w:color w:val="auto"/>
          <w:highlight w:val="none"/>
          <w:lang w:val="en-US" w:eastAsia="zh-CN"/>
        </w:rPr>
        <w:t>实现跨越式发展</w:t>
      </w:r>
      <w:r>
        <w:rPr>
          <w:rFonts w:hint="eastAsia"/>
          <w:b/>
          <w:bCs/>
          <w:color w:val="auto"/>
          <w:highlight w:val="none"/>
        </w:rPr>
        <w:t>，</w:t>
      </w:r>
      <w:r>
        <w:rPr>
          <w:rFonts w:hint="eastAsia"/>
          <w:color w:val="auto"/>
          <w:highlight w:val="none"/>
        </w:rPr>
        <w:t>“十三五”期间全区</w:t>
      </w:r>
      <w:r>
        <w:rPr>
          <w:rFonts w:hint="eastAsia"/>
          <w:color w:val="auto"/>
          <w:highlight w:val="none"/>
          <w:lang w:val="en-US" w:eastAsia="zh-CN"/>
        </w:rPr>
        <w:t>房地产业不断取得突破，</w:t>
      </w:r>
      <w:r>
        <w:rPr>
          <w:rFonts w:hint="eastAsia"/>
          <w:color w:val="auto"/>
          <w:szCs w:val="22"/>
          <w:highlight w:val="none"/>
          <w:lang w:val="en-US" w:eastAsia="zh-CN"/>
        </w:rPr>
        <w:t>“投资海东”成为热点，</w:t>
      </w:r>
      <w:r>
        <w:rPr>
          <w:rFonts w:hint="eastAsia"/>
          <w:color w:val="auto"/>
          <w:highlight w:val="none"/>
        </w:rPr>
        <w:t>启达东海岸、</w:t>
      </w:r>
      <w:r>
        <w:rPr>
          <w:rFonts w:hint="eastAsia"/>
          <w:color w:val="auto"/>
          <w:highlight w:val="none"/>
          <w:lang w:val="en-US" w:eastAsia="zh-CN"/>
        </w:rPr>
        <w:t>万象</w:t>
      </w:r>
      <w:r>
        <w:rPr>
          <w:rFonts w:hint="eastAsia"/>
          <w:color w:val="auto"/>
          <w:highlight w:val="none"/>
        </w:rPr>
        <w:t>凯旋湾、恒大绿洲、申蓝宝邸、中科苑、新玥海里等</w:t>
      </w:r>
      <w:r>
        <w:rPr>
          <w:rFonts w:hint="eastAsia"/>
          <w:color w:val="auto"/>
          <w:highlight w:val="none"/>
          <w:lang w:val="en-US" w:eastAsia="zh-CN"/>
        </w:rPr>
        <w:t>一批高</w:t>
      </w:r>
      <w:r>
        <w:rPr>
          <w:rFonts w:hint="eastAsia"/>
          <w:color w:val="auto"/>
          <w:highlight w:val="none"/>
        </w:rPr>
        <w:t>品质商住楼盘先后建成，商品房销售额</w:t>
      </w:r>
      <w:r>
        <w:rPr>
          <w:rFonts w:hint="eastAsia"/>
          <w:color w:val="auto"/>
          <w:highlight w:val="none"/>
          <w:lang w:eastAsia="zh-CN"/>
        </w:rPr>
        <w:t>累计完成</w:t>
      </w:r>
      <w:r>
        <w:rPr>
          <w:rFonts w:hint="eastAsia" w:ascii="Times New Roman" w:hAnsi="Times New Roman"/>
          <w:color w:val="auto"/>
          <w:highlight w:val="none"/>
          <w:lang w:val="en-US" w:eastAsia="zh-CN"/>
        </w:rPr>
        <w:t>110.2</w:t>
      </w:r>
      <w:r>
        <w:rPr>
          <w:rFonts w:hint="eastAsia"/>
          <w:color w:val="auto"/>
          <w:highlight w:val="none"/>
          <w:lang w:val="en-US" w:eastAsia="zh-CN"/>
        </w:rPr>
        <w:t>亿元</w:t>
      </w:r>
      <w:r>
        <w:rPr>
          <w:rFonts w:hint="eastAsia"/>
          <w:color w:val="auto"/>
          <w:highlight w:val="none"/>
        </w:rPr>
        <w:t>。</w:t>
      </w:r>
    </w:p>
    <w:p>
      <w:pPr>
        <w:pStyle w:val="5"/>
        <w:rPr>
          <w:color w:val="auto"/>
          <w:highlight w:val="none"/>
        </w:rPr>
      </w:pPr>
      <w:r>
        <w:rPr>
          <w:color w:val="auto"/>
          <w:highlight w:val="none"/>
        </w:rPr>
        <w:t>四、城乡现代化建设成绩突出</w:t>
      </w:r>
    </w:p>
    <w:p>
      <w:pPr>
        <w:rPr>
          <w:color w:val="auto"/>
          <w:highlight w:val="none"/>
        </w:rPr>
      </w:pPr>
      <w:r>
        <w:rPr>
          <w:rFonts w:hint="eastAsia"/>
          <w:b/>
          <w:bCs/>
          <w:color w:val="auto"/>
          <w:szCs w:val="22"/>
          <w:highlight w:val="none"/>
        </w:rPr>
        <w:t>城区建设成果显著。</w:t>
      </w:r>
      <w:r>
        <w:rPr>
          <w:color w:val="auto"/>
          <w:highlight w:val="none"/>
        </w:rPr>
        <w:t>城市面貌大</w:t>
      </w:r>
      <w:r>
        <w:rPr>
          <w:rFonts w:hint="eastAsia"/>
          <w:color w:val="auto"/>
          <w:highlight w:val="none"/>
        </w:rPr>
        <w:t>为</w:t>
      </w:r>
      <w:r>
        <w:rPr>
          <w:color w:val="auto"/>
          <w:highlight w:val="none"/>
        </w:rPr>
        <w:t>改善，城市品质实现新突破。</w:t>
      </w:r>
      <w:r>
        <w:rPr>
          <w:rFonts w:hint="eastAsia"/>
          <w:color w:val="auto"/>
          <w:highlight w:val="none"/>
        </w:rPr>
        <w:t>海东广场、华发创新产业新城、港城壹号等一批</w:t>
      </w:r>
      <w:r>
        <w:rPr>
          <w:color w:val="auto"/>
          <w:highlight w:val="none"/>
        </w:rPr>
        <w:t>优质宜居房地产项目相继落成，现代商住小区进一步扩容。</w:t>
      </w:r>
      <w:r>
        <w:rPr>
          <w:rFonts w:hint="eastAsia"/>
          <w:color w:val="auto"/>
          <w:highlight w:val="none"/>
        </w:rPr>
        <w:t>灯塔路</w:t>
      </w:r>
      <w:r>
        <w:rPr>
          <w:rFonts w:hint="eastAsia"/>
          <w:color w:val="auto"/>
          <w:highlight w:val="none"/>
          <w:lang w:eastAsia="zh-CN"/>
        </w:rPr>
        <w:t>、</w:t>
      </w:r>
      <w:r>
        <w:rPr>
          <w:rFonts w:hint="eastAsia"/>
          <w:color w:val="auto"/>
          <w:highlight w:val="none"/>
        </w:rPr>
        <w:t>南调路升级改造相继完工，军港大道、海盛路、东盛大道等“内循环”市政道路项目加快推进，路网进一步完善。</w:t>
      </w:r>
      <w:r>
        <w:rPr>
          <w:rFonts w:hint="eastAsia"/>
          <w:color w:val="auto"/>
          <w:highlight w:val="none"/>
          <w:lang w:val="en-US" w:eastAsia="zh-CN"/>
        </w:rPr>
        <w:t>全区</w:t>
      </w:r>
      <w:r>
        <w:rPr>
          <w:rFonts w:hint="eastAsia"/>
          <w:color w:val="auto"/>
          <w:highlight w:val="none"/>
        </w:rPr>
        <w:t>在建项目全部</w:t>
      </w:r>
      <w:r>
        <w:rPr>
          <w:rFonts w:hint="eastAsia"/>
          <w:color w:val="auto"/>
          <w:highlight w:val="none"/>
          <w:lang w:val="en-US" w:eastAsia="zh-CN"/>
        </w:rPr>
        <w:t>按照</w:t>
      </w:r>
      <w:r>
        <w:rPr>
          <w:rFonts w:hint="eastAsia"/>
          <w:color w:val="auto"/>
          <w:highlight w:val="none"/>
        </w:rPr>
        <w:t>绿色建筑设计施工，在建绿色建筑</w:t>
      </w:r>
      <w:r>
        <w:rPr>
          <w:rFonts w:hint="default" w:ascii="Times New Roman" w:hAnsi="Times New Roman" w:cs="Times New Roman"/>
          <w:color w:val="auto"/>
          <w:highlight w:val="none"/>
        </w:rPr>
        <w:t>面积</w:t>
      </w:r>
      <w:r>
        <w:rPr>
          <w:rFonts w:hint="eastAsia" w:ascii="Times New Roman" w:hAnsi="Times New Roman" w:cs="Times New Roman"/>
          <w:color w:val="auto"/>
          <w:highlight w:val="none"/>
          <w:lang w:eastAsia="zh-CN"/>
        </w:rPr>
        <w:t>100.02</w:t>
      </w:r>
      <w:r>
        <w:rPr>
          <w:rFonts w:hint="default" w:ascii="Times New Roman" w:hAnsi="Times New Roman" w:cs="Times New Roman"/>
          <w:color w:val="auto"/>
          <w:highlight w:val="none"/>
        </w:rPr>
        <w:t>万</w:t>
      </w:r>
      <w:r>
        <w:rPr>
          <w:rFonts w:hint="eastAsia" w:ascii="仿宋" w:hAnsi="仿宋" w:eastAsia="仿宋" w:cs="仿宋"/>
          <w:color w:val="auto"/>
          <w:highlight w:val="none"/>
          <w:lang w:val="en-US" w:eastAsia="zh-CN"/>
        </w:rPr>
        <w:t>平方米</w:t>
      </w:r>
      <w:r>
        <w:rPr>
          <w:rFonts w:hint="eastAsia" w:ascii="Times New Roman" w:hAnsi="Times New Roman" w:eastAsia="宋体" w:cs="Times New Roman"/>
          <w:color w:val="auto"/>
          <w:highlight w:val="none"/>
          <w:lang w:eastAsia="zh-CN"/>
        </w:rPr>
        <w:t>。</w:t>
      </w:r>
      <w:r>
        <w:rPr>
          <w:color w:val="auto"/>
          <w:highlight w:val="none"/>
        </w:rPr>
        <w:t>怡海公园、南调河综合整治工程、民航湛江空管站、</w:t>
      </w:r>
      <w:r>
        <w:rPr>
          <w:rFonts w:hint="eastAsia"/>
          <w:color w:val="auto"/>
          <w:highlight w:val="none"/>
        </w:rPr>
        <w:t>湛江市久和医院、坡头区文化活动中心等一批公共配套工程项目有效推进，坡头区妇幼保健院异地迁建、</w:t>
      </w:r>
      <w:r>
        <w:rPr>
          <w:rFonts w:hint="eastAsia"/>
          <w:color w:val="auto"/>
          <w:szCs w:val="22"/>
          <w:highlight w:val="none"/>
        </w:rPr>
        <w:t>湛江市第三十一中、坡头供水等项目</w:t>
      </w:r>
      <w:r>
        <w:rPr>
          <w:rFonts w:hint="eastAsia"/>
          <w:color w:val="auto"/>
          <w:highlight w:val="none"/>
        </w:rPr>
        <w:t>启动实施，城市人居环境不断优化。</w:t>
      </w:r>
      <w:r>
        <w:rPr>
          <w:rFonts w:hint="eastAsia" w:ascii="Times New Roman" w:hAnsi="Times New Roman"/>
          <w:color w:val="auto"/>
          <w:highlight w:val="none"/>
          <w:lang w:eastAsia="zh-CN"/>
        </w:rPr>
        <w:t>2018</w:t>
      </w:r>
      <w:r>
        <w:rPr>
          <w:rFonts w:hint="eastAsia"/>
          <w:color w:val="auto"/>
          <w:highlight w:val="none"/>
        </w:rPr>
        <w:t>年全省</w:t>
      </w:r>
      <w:r>
        <w:rPr>
          <w:rFonts w:hint="eastAsia"/>
          <w:color w:val="auto"/>
          <w:highlight w:val="none"/>
          <w:lang w:eastAsia="zh-CN"/>
        </w:rPr>
        <w:t>巩</w:t>
      </w:r>
      <w:r>
        <w:rPr>
          <w:rFonts w:hint="eastAsia"/>
          <w:color w:val="auto"/>
          <w:highlight w:val="none"/>
        </w:rPr>
        <w:t>卫考核排名第十、粤东西北地区第一，创造了湛江市历年考核最好成绩。市政管理取得新成效，</w:t>
      </w:r>
      <w:r>
        <w:rPr>
          <w:rFonts w:hint="eastAsia" w:ascii="Times New Roman" w:hAnsi="Times New Roman"/>
          <w:color w:val="auto"/>
          <w:highlight w:val="none"/>
          <w:lang w:eastAsia="zh-CN"/>
        </w:rPr>
        <w:t>2019</w:t>
      </w:r>
      <w:r>
        <w:rPr>
          <w:rFonts w:hint="eastAsia"/>
          <w:color w:val="auto"/>
          <w:highlight w:val="none"/>
        </w:rPr>
        <w:t>年机构改革以来处置</w:t>
      </w:r>
      <w:r>
        <w:rPr>
          <w:rFonts w:hint="eastAsia" w:ascii="Times New Roman" w:hAnsi="Times New Roman"/>
          <w:color w:val="auto"/>
          <w:highlight w:val="none"/>
          <w:lang w:eastAsia="zh-CN"/>
        </w:rPr>
        <w:t>12345</w:t>
      </w:r>
      <w:r>
        <w:rPr>
          <w:rFonts w:hint="eastAsia"/>
          <w:color w:val="auto"/>
          <w:highlight w:val="none"/>
        </w:rPr>
        <w:t>热线投诉案件</w:t>
      </w:r>
      <w:r>
        <w:rPr>
          <w:rFonts w:hint="eastAsia" w:ascii="Times New Roman" w:hAnsi="Times New Roman"/>
          <w:color w:val="auto"/>
          <w:highlight w:val="none"/>
          <w:lang w:eastAsia="zh-CN"/>
        </w:rPr>
        <w:t>288</w:t>
      </w:r>
      <w:r>
        <w:rPr>
          <w:rFonts w:hint="eastAsia"/>
          <w:color w:val="auto"/>
          <w:highlight w:val="none"/>
        </w:rPr>
        <w:t>宗、数字化系统案件</w:t>
      </w:r>
      <w:r>
        <w:rPr>
          <w:rFonts w:hint="eastAsia" w:ascii="Times New Roman" w:hAnsi="Times New Roman"/>
          <w:color w:val="auto"/>
          <w:highlight w:val="none"/>
          <w:lang w:eastAsia="zh-CN"/>
        </w:rPr>
        <w:t>1882</w:t>
      </w:r>
      <w:r>
        <w:rPr>
          <w:rFonts w:hint="eastAsia"/>
          <w:color w:val="auto"/>
          <w:highlight w:val="none"/>
        </w:rPr>
        <w:t>宗。</w:t>
      </w:r>
    </w:p>
    <w:p>
      <w:pPr>
        <w:rPr>
          <w:color w:val="auto"/>
          <w:highlight w:val="none"/>
        </w:rPr>
      </w:pPr>
      <w:r>
        <w:rPr>
          <w:rFonts w:hint="eastAsia"/>
          <w:b/>
          <w:bCs/>
          <w:color w:val="auto"/>
          <w:szCs w:val="22"/>
          <w:highlight w:val="none"/>
        </w:rPr>
        <w:t>乡村振兴战略成果卓著。</w:t>
      </w:r>
      <w:r>
        <w:rPr>
          <w:rFonts w:hint="eastAsia"/>
          <w:color w:val="auto"/>
          <w:highlight w:val="none"/>
        </w:rPr>
        <w:t>新型农业主体蓬勃发展，全区共有农民专业合作社</w:t>
      </w:r>
      <w:r>
        <w:rPr>
          <w:rFonts w:hint="eastAsia"/>
          <w:color w:val="auto"/>
          <w:highlight w:val="none"/>
          <w:lang w:val="en-US" w:eastAsia="zh-CN"/>
        </w:rPr>
        <w:t>142</w:t>
      </w:r>
      <w:r>
        <w:rPr>
          <w:rFonts w:hint="eastAsia"/>
          <w:color w:val="auto"/>
          <w:highlight w:val="none"/>
        </w:rPr>
        <w:t>家。大力推广农作物优良新品种，建设科技试验示范基地</w:t>
      </w:r>
      <w:r>
        <w:rPr>
          <w:rFonts w:hint="eastAsia" w:ascii="Times New Roman" w:hAnsi="Times New Roman"/>
          <w:color w:val="auto"/>
          <w:highlight w:val="none"/>
          <w:lang w:val="en-US" w:eastAsia="zh-CN"/>
        </w:rPr>
        <w:t>12</w:t>
      </w:r>
      <w:r>
        <w:rPr>
          <w:rFonts w:hint="eastAsia"/>
          <w:color w:val="auto"/>
          <w:highlight w:val="none"/>
        </w:rPr>
        <w:t>个，坡头镇优质青皮冬瓜、麻斜街道办麻农牌软红米、官渡镇优质香米、乾塘南寨莲藕、乾塘米稔黑棕鹅、龙头上蒙香蕉、南三巴东对虾、坡头民有葡萄等</w:t>
      </w:r>
      <w:r>
        <w:rPr>
          <w:rFonts w:hint="eastAsia" w:ascii="Times New Roman" w:hAnsi="Times New Roman"/>
          <w:color w:val="auto"/>
          <w:highlight w:val="none"/>
          <w:lang w:eastAsia="zh-CN"/>
        </w:rPr>
        <w:t>8</w:t>
      </w:r>
      <w:r>
        <w:rPr>
          <w:rFonts w:hint="eastAsia"/>
          <w:color w:val="auto"/>
          <w:highlight w:val="none"/>
        </w:rPr>
        <w:t>个“一村一品，一镇一业”项目成功申报。农村集体产权制度改革工作进展顺利，农村集体“三资”交易平台硕果累累，总成交额达</w:t>
      </w:r>
      <w:r>
        <w:rPr>
          <w:rFonts w:hint="eastAsia" w:ascii="Times New Roman" w:hAnsi="Times New Roman"/>
          <w:color w:val="auto"/>
          <w:highlight w:val="none"/>
          <w:lang w:val="en-US" w:eastAsia="zh-CN"/>
        </w:rPr>
        <w:t>2.58</w:t>
      </w:r>
      <w:r>
        <w:rPr>
          <w:rFonts w:hint="eastAsia"/>
          <w:color w:val="auto"/>
          <w:highlight w:val="none"/>
        </w:rPr>
        <w:t>亿元。高标准农田建设项目顺利推进。</w:t>
      </w:r>
      <w:r>
        <w:rPr>
          <w:rFonts w:hint="eastAsia"/>
          <w:color w:val="auto"/>
          <w:szCs w:val="22"/>
          <w:highlight w:val="none"/>
        </w:rPr>
        <w:t>农村环境卫生明显好转，全区村庄全部建立保洁制度和三级转运机制，实现生活垃圾处理全覆盖。“三清三拆三整治”、集中供水、农村“厕所革命”、生活污水治理等工作有序落实，</w:t>
      </w:r>
      <w:r>
        <w:rPr>
          <w:rFonts w:hint="eastAsia" w:ascii="Times New Roman" w:hAnsi="Times New Roman" w:cs="仿宋"/>
          <w:color w:val="auto"/>
          <w:sz w:val="32"/>
          <w:szCs w:val="32"/>
          <w:highlight w:val="none"/>
          <w:lang w:eastAsia="zh-CN"/>
        </w:rPr>
        <w:t>80%</w:t>
      </w:r>
      <w:r>
        <w:rPr>
          <w:rFonts w:hint="eastAsia" w:ascii="仿宋" w:hAnsi="仿宋" w:eastAsia="仿宋" w:cs="仿宋"/>
          <w:color w:val="auto"/>
          <w:sz w:val="32"/>
          <w:szCs w:val="32"/>
          <w:highlight w:val="none"/>
        </w:rPr>
        <w:t>行政</w:t>
      </w:r>
      <w:r>
        <w:rPr>
          <w:rFonts w:hint="eastAsia"/>
          <w:color w:val="auto"/>
          <w:szCs w:val="22"/>
          <w:highlight w:val="none"/>
        </w:rPr>
        <w:t>村基本达到干净整治标准，</w:t>
      </w:r>
      <w:r>
        <w:rPr>
          <w:rFonts w:hint="eastAsia" w:ascii="Times New Roman" w:hAnsi="Times New Roman"/>
          <w:color w:val="auto"/>
          <w:szCs w:val="22"/>
          <w:highlight w:val="none"/>
          <w:lang w:eastAsia="zh-CN"/>
        </w:rPr>
        <w:t>40%</w:t>
      </w:r>
      <w:r>
        <w:rPr>
          <w:rFonts w:hint="eastAsia"/>
          <w:color w:val="auto"/>
          <w:szCs w:val="22"/>
          <w:highlight w:val="none"/>
        </w:rPr>
        <w:t>行政村基本达到美丽宜居标准。</w:t>
      </w:r>
      <w:r>
        <w:rPr>
          <w:rFonts w:hint="eastAsia"/>
          <w:color w:val="auto"/>
          <w:highlight w:val="none"/>
          <w:lang w:val="en-US" w:eastAsia="zh-CN"/>
        </w:rPr>
        <w:t>748</w:t>
      </w:r>
      <w:r>
        <w:rPr>
          <w:rFonts w:hint="eastAsia"/>
          <w:color w:val="auto"/>
          <w:highlight w:val="none"/>
        </w:rPr>
        <w:t>条自然村村庄</w:t>
      </w:r>
      <w:r>
        <w:rPr>
          <w:rFonts w:hint="eastAsia"/>
          <w:color w:val="auto"/>
          <w:szCs w:val="22"/>
          <w:highlight w:val="none"/>
        </w:rPr>
        <w:t>规划编制全部完成，完成农村公路硬底公建设</w:t>
      </w:r>
      <w:r>
        <w:rPr>
          <w:rFonts w:hint="eastAsia" w:ascii="Times New Roman" w:hAnsi="Times New Roman" w:cs="仿宋"/>
          <w:color w:val="auto"/>
          <w:sz w:val="32"/>
          <w:szCs w:val="32"/>
          <w:highlight w:val="none"/>
          <w:lang w:eastAsia="zh-CN"/>
        </w:rPr>
        <w:t>228.962</w:t>
      </w:r>
      <w:r>
        <w:rPr>
          <w:rFonts w:hint="eastAsia"/>
          <w:color w:val="auto"/>
          <w:szCs w:val="22"/>
          <w:highlight w:val="none"/>
        </w:rPr>
        <w:t>公里，完成投资约</w:t>
      </w:r>
      <w:r>
        <w:rPr>
          <w:rFonts w:hint="eastAsia" w:ascii="Times New Roman" w:hAnsi="Times New Roman" w:cs="仿宋"/>
          <w:color w:val="auto"/>
          <w:sz w:val="32"/>
          <w:szCs w:val="32"/>
          <w:highlight w:val="none"/>
          <w:lang w:eastAsia="zh-CN"/>
        </w:rPr>
        <w:t>16700.89</w:t>
      </w:r>
      <w:r>
        <w:rPr>
          <w:rFonts w:hint="eastAsia" w:ascii="仿宋" w:hAnsi="仿宋" w:eastAsia="仿宋" w:cs="仿宋"/>
          <w:color w:val="auto"/>
          <w:sz w:val="32"/>
          <w:szCs w:val="32"/>
          <w:highlight w:val="none"/>
        </w:rPr>
        <w:t>万元。</w:t>
      </w:r>
    </w:p>
    <w:p>
      <w:pPr>
        <w:pStyle w:val="5"/>
        <w:rPr>
          <w:color w:val="auto"/>
          <w:highlight w:val="none"/>
        </w:rPr>
      </w:pPr>
      <w:r>
        <w:rPr>
          <w:rFonts w:hint="eastAsia"/>
          <w:color w:val="auto"/>
          <w:highlight w:val="none"/>
        </w:rPr>
        <w:t>五、</w:t>
      </w:r>
      <w:r>
        <w:rPr>
          <w:color w:val="auto"/>
          <w:highlight w:val="none"/>
        </w:rPr>
        <w:t>改革开放推向更深更高层次</w:t>
      </w:r>
    </w:p>
    <w:p>
      <w:pPr>
        <w:rPr>
          <w:color w:val="auto"/>
          <w:highlight w:val="none"/>
        </w:rPr>
      </w:pPr>
      <w:r>
        <w:rPr>
          <w:rFonts w:hint="eastAsia"/>
          <w:color w:val="auto"/>
          <w:highlight w:val="none"/>
        </w:rPr>
        <w:t>推进“审批提速”工程，全面推行“不见面审批”，企业设立登记压缩至</w:t>
      </w:r>
      <w:r>
        <w:rPr>
          <w:rFonts w:hint="eastAsia" w:ascii="Times New Roman" w:hAnsi="Times New Roman"/>
          <w:color w:val="auto"/>
          <w:highlight w:val="none"/>
          <w:lang w:eastAsia="zh-CN"/>
        </w:rPr>
        <w:t>0.5</w:t>
      </w:r>
      <w:r>
        <w:rPr>
          <w:rFonts w:hint="eastAsia"/>
          <w:color w:val="auto"/>
          <w:highlight w:val="none"/>
        </w:rPr>
        <w:t>个工作日，</w:t>
      </w:r>
      <w:r>
        <w:rPr>
          <w:rFonts w:hint="eastAsia" w:ascii="Times New Roman" w:hAnsi="Times New Roman"/>
          <w:color w:val="auto"/>
          <w:highlight w:val="none"/>
          <w:lang w:eastAsia="zh-CN"/>
        </w:rPr>
        <w:t>80%</w:t>
      </w:r>
      <w:r>
        <w:rPr>
          <w:rFonts w:hint="eastAsia"/>
          <w:color w:val="auto"/>
          <w:highlight w:val="none"/>
        </w:rPr>
        <w:t>事项“最多跑一次”就能办好。实现在国家、省、市、县四级间要素基本统一，与国家政务服务网成功对接上线运行。推进一体化政务服务平台建设，推广电子印章、电子证照的制作，开展政务服务“四免”优化专项工作，大力推进“粤政易”协同办公平台，大力宣传“粤省事”“粤商通”自助终端的应用。推进“一窗受理、集成服务”改革事项。</w:t>
      </w:r>
      <w:r>
        <w:rPr>
          <w:rFonts w:hint="eastAsia"/>
          <w:color w:val="auto"/>
          <w:szCs w:val="22"/>
          <w:highlight w:val="none"/>
        </w:rPr>
        <w:t>全面落实《关于</w:t>
      </w:r>
      <w:r>
        <w:rPr>
          <w:rFonts w:hint="eastAsia"/>
          <w:color w:val="auto"/>
          <w:highlight w:val="none"/>
        </w:rPr>
        <w:t>进一步规范完善投资项目准入条件及程序的实施意见》，推动招商引资科学、健康发展。全面深化信用体系建设，大力推进创建“信用县”，响应市“诚信建设万里行”活动，完善信用信息共享平台，推进信用联合奖惩机制建设。</w:t>
      </w:r>
    </w:p>
    <w:p>
      <w:pPr>
        <w:pStyle w:val="5"/>
        <w:rPr>
          <w:color w:val="auto"/>
          <w:highlight w:val="none"/>
        </w:rPr>
      </w:pPr>
      <w:r>
        <w:rPr>
          <w:color w:val="auto"/>
          <w:highlight w:val="none"/>
        </w:rPr>
        <w:t>六、三大攻坚战取得新成果</w:t>
      </w:r>
    </w:p>
    <w:p>
      <w:pPr>
        <w:rPr>
          <w:color w:val="auto"/>
          <w:highlight w:val="none"/>
        </w:rPr>
      </w:pPr>
      <w:r>
        <w:rPr>
          <w:rFonts w:hint="eastAsia"/>
          <w:b/>
          <w:bCs/>
          <w:color w:val="auto"/>
          <w:highlight w:val="none"/>
        </w:rPr>
        <w:t>脱贫攻坚战取得胜利。</w:t>
      </w:r>
      <w:r>
        <w:rPr>
          <w:rFonts w:hint="eastAsia"/>
          <w:color w:val="auto"/>
          <w:highlight w:val="none"/>
        </w:rPr>
        <w:t>“十三五”期间，脱贫攻坚工作取得积极成效。全区贫困人口中有</w:t>
      </w:r>
      <w:r>
        <w:rPr>
          <w:rFonts w:hint="eastAsia" w:ascii="Times New Roman" w:hAnsi="Times New Roman"/>
          <w:color w:val="auto"/>
          <w:highlight w:val="none"/>
          <w:lang w:eastAsia="zh-CN"/>
        </w:rPr>
        <w:t>6358</w:t>
      </w:r>
      <w:r>
        <w:rPr>
          <w:rFonts w:hint="eastAsia"/>
          <w:color w:val="auto"/>
          <w:highlight w:val="none"/>
        </w:rPr>
        <w:t>人纳入农村低保和特困人员供养</w:t>
      </w:r>
      <w:r>
        <w:rPr>
          <w:rFonts w:hint="eastAsia"/>
          <w:color w:val="auto"/>
          <w:highlight w:val="none"/>
          <w:lang w:eastAsia="zh-CN"/>
        </w:rPr>
        <w:t>，</w:t>
      </w:r>
      <w:r>
        <w:rPr>
          <w:rFonts w:hint="eastAsia"/>
          <w:color w:val="auto"/>
          <w:highlight w:val="none"/>
        </w:rPr>
        <w:t>贫困学生</w:t>
      </w:r>
      <w:r>
        <w:rPr>
          <w:rFonts w:hint="eastAsia" w:ascii="Times New Roman" w:hAnsi="Times New Roman"/>
          <w:color w:val="auto"/>
          <w:highlight w:val="none"/>
          <w:lang w:eastAsia="zh-CN"/>
        </w:rPr>
        <w:t>1921</w:t>
      </w:r>
      <w:r>
        <w:rPr>
          <w:rFonts w:hint="eastAsia"/>
          <w:color w:val="auto"/>
          <w:highlight w:val="none"/>
        </w:rPr>
        <w:t>人全部享受教育补贴</w:t>
      </w:r>
      <w:r>
        <w:rPr>
          <w:rFonts w:hint="eastAsia"/>
          <w:color w:val="auto"/>
          <w:highlight w:val="none"/>
          <w:lang w:eastAsia="zh-CN"/>
        </w:rPr>
        <w:t>，</w:t>
      </w:r>
      <w:r>
        <w:rPr>
          <w:rFonts w:hint="eastAsia"/>
          <w:color w:val="auto"/>
          <w:highlight w:val="none"/>
        </w:rPr>
        <w:t>为全区除职工外的</w:t>
      </w:r>
      <w:r>
        <w:rPr>
          <w:rFonts w:hint="eastAsia" w:ascii="Times New Roman" w:hAnsi="Times New Roman"/>
          <w:color w:val="auto"/>
          <w:highlight w:val="none"/>
          <w:lang w:eastAsia="zh-CN"/>
        </w:rPr>
        <w:t>10342</w:t>
      </w:r>
      <w:r>
        <w:rPr>
          <w:rFonts w:hint="eastAsia"/>
          <w:color w:val="auto"/>
          <w:highlight w:val="none"/>
        </w:rPr>
        <w:t>人代缴城乡医保和大病保险</w:t>
      </w:r>
      <w:r>
        <w:rPr>
          <w:rFonts w:hint="eastAsia"/>
          <w:color w:val="auto"/>
          <w:highlight w:val="none"/>
          <w:lang w:eastAsia="zh-CN"/>
        </w:rPr>
        <w:t>，</w:t>
      </w:r>
      <w:r>
        <w:rPr>
          <w:rFonts w:hint="eastAsia"/>
          <w:color w:val="auto"/>
          <w:highlight w:val="none"/>
        </w:rPr>
        <w:t>落实扶贫项目</w:t>
      </w:r>
      <w:r>
        <w:rPr>
          <w:rFonts w:hint="eastAsia" w:ascii="Times New Roman" w:hAnsi="Times New Roman"/>
          <w:color w:val="auto"/>
          <w:highlight w:val="none"/>
          <w:lang w:eastAsia="zh-CN"/>
        </w:rPr>
        <w:t>1161</w:t>
      </w:r>
      <w:r>
        <w:rPr>
          <w:rFonts w:hint="eastAsia"/>
          <w:color w:val="auto"/>
          <w:highlight w:val="none"/>
        </w:rPr>
        <w:t>个，麻农软红米、南三海鸭蛋、钟繇阳光玫瑰园葡萄、乾塘沙城莲藕等扶贫产品获“湛江市扶贫明星产品”荣誉称号，巴东勤致农场“草畜循环一体化”养殖产业扶贫案例、乾塘镇沙城村的种植销售莲藕产业扶贫案例获“湛江市特色种养业扶贫十大典型案例”荣誉称号；在全市率先全面开展贫困户信用等级评定工作；全区累计实现脱贫人口达</w:t>
      </w:r>
      <w:r>
        <w:rPr>
          <w:rFonts w:hint="eastAsia" w:ascii="Times New Roman" w:hAnsi="Times New Roman"/>
          <w:color w:val="auto"/>
          <w:highlight w:val="none"/>
          <w:lang w:eastAsia="zh-CN"/>
        </w:rPr>
        <w:t>4286</w:t>
      </w:r>
      <w:r>
        <w:rPr>
          <w:rFonts w:hint="eastAsia"/>
          <w:color w:val="auto"/>
          <w:highlight w:val="none"/>
        </w:rPr>
        <w:t>户</w:t>
      </w:r>
      <w:r>
        <w:rPr>
          <w:rFonts w:hint="eastAsia" w:ascii="Times New Roman" w:hAnsi="Times New Roman"/>
          <w:color w:val="auto"/>
          <w:highlight w:val="none"/>
          <w:lang w:eastAsia="zh-CN"/>
        </w:rPr>
        <w:t>10603</w:t>
      </w:r>
      <w:r>
        <w:rPr>
          <w:rFonts w:hint="eastAsia"/>
          <w:color w:val="auto"/>
          <w:highlight w:val="none"/>
        </w:rPr>
        <w:t>人，</w:t>
      </w:r>
      <w:r>
        <w:rPr>
          <w:rFonts w:hint="eastAsia" w:ascii="Times New Roman" w:hAnsi="Times New Roman"/>
          <w:color w:val="auto"/>
          <w:highlight w:val="none"/>
          <w:lang w:eastAsia="zh-CN"/>
        </w:rPr>
        <w:t>5</w:t>
      </w:r>
      <w:r>
        <w:rPr>
          <w:rFonts w:hint="eastAsia"/>
          <w:color w:val="auto"/>
          <w:highlight w:val="none"/>
        </w:rPr>
        <w:t>条省定贫困村全部出列。</w:t>
      </w:r>
    </w:p>
    <w:p>
      <w:pPr>
        <w:rPr>
          <w:rFonts w:hint="default" w:eastAsia="仿宋"/>
          <w:color w:val="auto"/>
          <w:highlight w:val="none"/>
          <w:lang w:val="en-US" w:eastAsia="zh-CN"/>
        </w:rPr>
      </w:pPr>
      <w:r>
        <w:rPr>
          <w:b/>
          <w:color w:val="auto"/>
          <w:highlight w:val="none"/>
        </w:rPr>
        <w:t>打好打赢污染防治攻坚战。</w:t>
      </w:r>
      <w:r>
        <w:rPr>
          <w:color w:val="auto"/>
          <w:highlight w:val="none"/>
        </w:rPr>
        <w:t>全区狠抓环境综合治理，空气质量良好，始终保持在国家二级标准内，优良天数占监测天数的</w:t>
      </w:r>
      <w:r>
        <w:rPr>
          <w:rFonts w:hint="eastAsia" w:ascii="Times New Roman" w:hAnsi="Times New Roman"/>
          <w:color w:val="auto"/>
          <w:highlight w:val="none"/>
          <w:lang w:eastAsia="zh-CN"/>
        </w:rPr>
        <w:t>95%</w:t>
      </w:r>
      <w:r>
        <w:rPr>
          <w:color w:val="auto"/>
          <w:highlight w:val="none"/>
        </w:rPr>
        <w:t>以上；开展土壤修复，未发现受污染地块；完成生物质锅炉整治任务，加大挥发性有机物治理力度。全力抓好环境监测服务工作，加大</w:t>
      </w:r>
      <w:r>
        <w:rPr>
          <w:rFonts w:hint="eastAsia"/>
          <w:color w:val="auto"/>
          <w:highlight w:val="none"/>
        </w:rPr>
        <w:t>“</w:t>
      </w:r>
      <w:r>
        <w:rPr>
          <w:color w:val="auto"/>
          <w:highlight w:val="none"/>
        </w:rPr>
        <w:t>散乱污</w:t>
      </w:r>
      <w:r>
        <w:rPr>
          <w:rFonts w:hint="eastAsia"/>
          <w:color w:val="auto"/>
          <w:highlight w:val="none"/>
        </w:rPr>
        <w:t>”</w:t>
      </w:r>
      <w:r>
        <w:rPr>
          <w:color w:val="auto"/>
          <w:highlight w:val="none"/>
        </w:rPr>
        <w:t>企业整治力度，</w:t>
      </w:r>
      <w:r>
        <w:rPr>
          <w:bCs/>
          <w:color w:val="auto"/>
          <w:szCs w:val="22"/>
          <w:highlight w:val="none"/>
        </w:rPr>
        <w:t>生态环境持续改善。</w:t>
      </w:r>
      <w:r>
        <w:rPr>
          <w:rFonts w:hint="eastAsia"/>
          <w:bCs/>
          <w:color w:val="auto"/>
          <w:szCs w:val="22"/>
          <w:highlight w:val="none"/>
        </w:rPr>
        <w:t>甘村水库综合整治工程</w:t>
      </w:r>
      <w:r>
        <w:rPr>
          <w:rFonts w:hint="eastAsia"/>
          <w:bCs/>
          <w:color w:val="auto"/>
          <w:szCs w:val="22"/>
          <w:highlight w:val="none"/>
          <w:lang w:val="en-US" w:eastAsia="zh-CN"/>
        </w:rPr>
        <w:t>稳步推进，清淤扩容后有效保障全区供水安全。</w:t>
      </w:r>
    </w:p>
    <w:p>
      <w:pPr>
        <w:rPr>
          <w:color w:val="auto"/>
          <w:highlight w:val="none"/>
        </w:rPr>
      </w:pPr>
      <w:r>
        <w:rPr>
          <w:b/>
          <w:bCs/>
          <w:color w:val="auto"/>
          <w:szCs w:val="22"/>
          <w:highlight w:val="none"/>
        </w:rPr>
        <w:t>防范化解重大风险取得成效。</w:t>
      </w:r>
      <w:r>
        <w:rPr>
          <w:rFonts w:hint="eastAsia"/>
          <w:color w:val="auto"/>
          <w:highlight w:val="none"/>
        </w:rPr>
        <w:t>“</w:t>
      </w:r>
      <w:r>
        <w:rPr>
          <w:color w:val="auto"/>
          <w:highlight w:val="none"/>
        </w:rPr>
        <w:t>十三五</w:t>
      </w:r>
      <w:r>
        <w:rPr>
          <w:rFonts w:hint="eastAsia"/>
          <w:color w:val="auto"/>
          <w:highlight w:val="none"/>
        </w:rPr>
        <w:t>”</w:t>
      </w:r>
      <w:r>
        <w:rPr>
          <w:color w:val="auto"/>
          <w:highlight w:val="none"/>
        </w:rPr>
        <w:t>期间，深入开展维护政治安全</w:t>
      </w:r>
      <w:r>
        <w:rPr>
          <w:rFonts w:hint="eastAsia" w:ascii="Times New Roman" w:hAnsi="Times New Roman"/>
          <w:color w:val="auto"/>
          <w:highlight w:val="none"/>
          <w:lang w:eastAsia="zh-CN"/>
        </w:rPr>
        <w:t>8</w:t>
      </w:r>
      <w:r>
        <w:rPr>
          <w:color w:val="auto"/>
          <w:highlight w:val="none"/>
        </w:rPr>
        <w:t>个专项行动，着力防范化解政治领域重大风险。大力防范化解经济领域重大风险，全面完成省审计整改，严控</w:t>
      </w:r>
      <w:r>
        <w:rPr>
          <w:rFonts w:hint="eastAsia"/>
          <w:color w:val="auto"/>
          <w:highlight w:val="none"/>
        </w:rPr>
        <w:t>“</w:t>
      </w:r>
      <w:r>
        <w:rPr>
          <w:color w:val="auto"/>
          <w:highlight w:val="none"/>
        </w:rPr>
        <w:t>三公</w:t>
      </w:r>
      <w:r>
        <w:rPr>
          <w:rFonts w:hint="eastAsia"/>
          <w:color w:val="auto"/>
          <w:highlight w:val="none"/>
        </w:rPr>
        <w:t>”</w:t>
      </w:r>
      <w:r>
        <w:rPr>
          <w:color w:val="auto"/>
          <w:highlight w:val="none"/>
        </w:rPr>
        <w:t>经费支出和新增隐性债务，坚决守住不发生系统性风险的底线。</w:t>
      </w:r>
    </w:p>
    <w:p>
      <w:pPr>
        <w:pStyle w:val="5"/>
        <w:rPr>
          <w:color w:val="auto"/>
          <w:highlight w:val="none"/>
        </w:rPr>
      </w:pPr>
      <w:r>
        <w:rPr>
          <w:color w:val="auto"/>
          <w:highlight w:val="none"/>
        </w:rPr>
        <w:t>七、民生保障水平持续提升</w:t>
      </w:r>
    </w:p>
    <w:p>
      <w:pPr>
        <w:rPr>
          <w:color w:val="auto"/>
          <w:highlight w:val="none"/>
        </w:rPr>
      </w:pPr>
      <w:r>
        <w:rPr>
          <w:rFonts w:hint="eastAsia"/>
          <w:b/>
          <w:bCs/>
          <w:color w:val="auto"/>
          <w:szCs w:val="22"/>
          <w:highlight w:val="none"/>
        </w:rPr>
        <w:t>民生实事投入维持高水平。</w:t>
      </w:r>
      <w:r>
        <w:rPr>
          <w:rFonts w:hint="eastAsia"/>
          <w:color w:val="auto"/>
          <w:highlight w:val="none"/>
        </w:rPr>
        <w:t>“十三五”期间，十类民生社会事业</w:t>
      </w:r>
      <w:r>
        <w:rPr>
          <w:rFonts w:hint="eastAsia"/>
          <w:color w:val="auto"/>
          <w:highlight w:val="none"/>
          <w:lang w:eastAsia="zh-CN"/>
        </w:rPr>
        <w:t>维持高</w:t>
      </w:r>
      <w:r>
        <w:rPr>
          <w:rFonts w:hint="eastAsia"/>
          <w:color w:val="auto"/>
          <w:highlight w:val="none"/>
        </w:rPr>
        <w:t>支出</w:t>
      </w:r>
      <w:r>
        <w:rPr>
          <w:rFonts w:hint="eastAsia"/>
          <w:color w:val="auto"/>
          <w:highlight w:val="none"/>
          <w:lang w:eastAsia="zh-CN"/>
        </w:rPr>
        <w:t>水平</w:t>
      </w:r>
      <w:r>
        <w:rPr>
          <w:rFonts w:hint="eastAsia"/>
          <w:color w:val="auto"/>
          <w:highlight w:val="none"/>
        </w:rPr>
        <w:t>，其中</w:t>
      </w:r>
      <w:r>
        <w:rPr>
          <w:rFonts w:hint="eastAsia" w:ascii="Times New Roman" w:hAnsi="Times New Roman"/>
          <w:color w:val="auto"/>
          <w:highlight w:val="none"/>
          <w:lang w:eastAsia="zh-CN"/>
        </w:rPr>
        <w:t>2016</w:t>
      </w:r>
      <w:r>
        <w:rPr>
          <w:rFonts w:hint="eastAsia"/>
          <w:color w:val="auto"/>
          <w:highlight w:val="none"/>
        </w:rPr>
        <w:t>年</w:t>
      </w:r>
      <w:r>
        <w:rPr>
          <w:rFonts w:hint="eastAsia"/>
          <w:color w:val="auto"/>
          <w:highlight w:val="none"/>
          <w:lang w:val="en-US" w:eastAsia="zh-CN"/>
        </w:rPr>
        <w:t>至</w:t>
      </w:r>
      <w:r>
        <w:rPr>
          <w:rFonts w:hint="eastAsia" w:ascii="Times New Roman" w:hAnsi="Times New Roman"/>
          <w:color w:val="auto"/>
          <w:highlight w:val="none"/>
          <w:lang w:val="en-US" w:eastAsia="zh-CN"/>
        </w:rPr>
        <w:t>2020</w:t>
      </w:r>
      <w:r>
        <w:rPr>
          <w:rFonts w:hint="eastAsia"/>
          <w:color w:val="auto"/>
          <w:highlight w:val="none"/>
          <w:lang w:val="en-US" w:eastAsia="zh-CN"/>
        </w:rPr>
        <w:t>年</w:t>
      </w:r>
      <w:r>
        <w:rPr>
          <w:rFonts w:hint="eastAsia"/>
          <w:color w:val="auto"/>
          <w:highlight w:val="none"/>
        </w:rPr>
        <w:t>十类民生社会事业方面支出</w:t>
      </w:r>
      <w:r>
        <w:rPr>
          <w:rFonts w:hint="eastAsia"/>
          <w:color w:val="auto"/>
          <w:highlight w:val="none"/>
          <w:lang w:val="en-US" w:eastAsia="zh-CN"/>
        </w:rPr>
        <w:t>分别达</w:t>
      </w:r>
      <w:r>
        <w:rPr>
          <w:rFonts w:hint="eastAsia" w:ascii="Times New Roman" w:hAnsi="Times New Roman"/>
          <w:color w:val="auto"/>
          <w:szCs w:val="22"/>
          <w:highlight w:val="none"/>
          <w:lang w:eastAsia="zh-CN"/>
        </w:rPr>
        <w:t>10.94</w:t>
      </w:r>
      <w:r>
        <w:rPr>
          <w:rFonts w:hint="eastAsia"/>
          <w:color w:val="auto"/>
          <w:szCs w:val="22"/>
          <w:highlight w:val="none"/>
        </w:rPr>
        <w:t>亿</w:t>
      </w:r>
      <w:r>
        <w:rPr>
          <w:rFonts w:hint="eastAsia"/>
          <w:color w:val="auto"/>
          <w:szCs w:val="22"/>
          <w:highlight w:val="none"/>
          <w:lang w:eastAsia="zh-CN"/>
        </w:rPr>
        <w:t>、</w:t>
      </w:r>
      <w:r>
        <w:rPr>
          <w:rFonts w:hint="eastAsia" w:ascii="Times New Roman" w:hAnsi="Times New Roman"/>
          <w:color w:val="auto"/>
          <w:szCs w:val="22"/>
          <w:highlight w:val="none"/>
          <w:lang w:eastAsia="zh-CN"/>
        </w:rPr>
        <w:t>1</w:t>
      </w:r>
      <w:r>
        <w:rPr>
          <w:rFonts w:hint="eastAsia" w:ascii="Times New Roman" w:hAnsi="Times New Roman"/>
          <w:color w:val="auto"/>
          <w:szCs w:val="22"/>
          <w:highlight w:val="none"/>
          <w:lang w:val="en-US" w:eastAsia="zh-CN"/>
        </w:rPr>
        <w:t>2.11</w:t>
      </w:r>
      <w:r>
        <w:rPr>
          <w:rFonts w:hint="eastAsia"/>
          <w:color w:val="auto"/>
          <w:szCs w:val="22"/>
          <w:highlight w:val="none"/>
        </w:rPr>
        <w:t>亿</w:t>
      </w:r>
      <w:r>
        <w:rPr>
          <w:rFonts w:hint="eastAsia"/>
          <w:color w:val="auto"/>
          <w:szCs w:val="22"/>
          <w:highlight w:val="none"/>
          <w:lang w:eastAsia="zh-CN"/>
        </w:rPr>
        <w:t>、</w:t>
      </w:r>
      <w:r>
        <w:rPr>
          <w:rFonts w:hint="eastAsia" w:ascii="Times New Roman" w:hAnsi="Times New Roman"/>
          <w:color w:val="auto"/>
          <w:szCs w:val="22"/>
          <w:highlight w:val="none"/>
          <w:lang w:eastAsia="zh-CN"/>
        </w:rPr>
        <w:t>14.25</w:t>
      </w:r>
      <w:r>
        <w:rPr>
          <w:rFonts w:hint="eastAsia"/>
          <w:color w:val="auto"/>
          <w:szCs w:val="22"/>
          <w:highlight w:val="none"/>
        </w:rPr>
        <w:t>亿</w:t>
      </w:r>
      <w:r>
        <w:rPr>
          <w:rFonts w:hint="eastAsia"/>
          <w:color w:val="auto"/>
          <w:szCs w:val="22"/>
          <w:highlight w:val="none"/>
          <w:lang w:eastAsia="zh-CN"/>
        </w:rPr>
        <w:t>、</w:t>
      </w:r>
      <w:r>
        <w:rPr>
          <w:rFonts w:hint="eastAsia" w:ascii="Times New Roman" w:hAnsi="Times New Roman"/>
          <w:color w:val="auto"/>
          <w:szCs w:val="22"/>
          <w:highlight w:val="none"/>
          <w:lang w:eastAsia="zh-CN"/>
        </w:rPr>
        <w:t>19.</w:t>
      </w:r>
      <w:r>
        <w:rPr>
          <w:rFonts w:hint="eastAsia" w:ascii="Times New Roman" w:hAnsi="Times New Roman"/>
          <w:color w:val="auto"/>
          <w:szCs w:val="22"/>
          <w:highlight w:val="none"/>
          <w:lang w:val="en-US" w:eastAsia="zh-CN"/>
        </w:rPr>
        <w:t>68</w:t>
      </w:r>
      <w:r>
        <w:rPr>
          <w:rFonts w:hint="eastAsia"/>
          <w:color w:val="auto"/>
          <w:szCs w:val="22"/>
          <w:highlight w:val="none"/>
        </w:rPr>
        <w:t>亿元</w:t>
      </w:r>
      <w:r>
        <w:rPr>
          <w:rFonts w:hint="eastAsia"/>
          <w:color w:val="auto"/>
          <w:szCs w:val="22"/>
          <w:highlight w:val="none"/>
          <w:lang w:eastAsia="zh-CN"/>
        </w:rPr>
        <w:t>、</w:t>
      </w:r>
      <w:r>
        <w:rPr>
          <w:rFonts w:hint="eastAsia" w:ascii="Times New Roman" w:hAnsi="Times New Roman"/>
          <w:color w:val="auto"/>
          <w:highlight w:val="none"/>
          <w:lang w:val="en-US" w:eastAsia="zh-CN"/>
        </w:rPr>
        <w:t>18.38</w:t>
      </w:r>
      <w:r>
        <w:rPr>
          <w:rFonts w:hint="eastAsia"/>
          <w:color w:val="auto"/>
          <w:highlight w:val="none"/>
          <w:lang w:val="en-US" w:eastAsia="zh-CN"/>
        </w:rPr>
        <w:t>亿</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均占一般公共预算支出八成以上</w:t>
      </w:r>
      <w:r>
        <w:rPr>
          <w:color w:val="auto"/>
          <w:highlight w:val="none"/>
        </w:rPr>
        <w:t>。</w:t>
      </w:r>
    </w:p>
    <w:p>
      <w:pPr>
        <w:rPr>
          <w:color w:val="auto"/>
          <w:highlight w:val="none"/>
        </w:rPr>
      </w:pPr>
      <w:r>
        <w:rPr>
          <w:rFonts w:hint="eastAsia"/>
          <w:b/>
          <w:bCs/>
          <w:color w:val="auto"/>
          <w:szCs w:val="22"/>
          <w:highlight w:val="none"/>
        </w:rPr>
        <w:t>教育事业成效显著。</w:t>
      </w:r>
      <w:r>
        <w:rPr>
          <w:rFonts w:hint="eastAsia"/>
          <w:color w:val="auto"/>
          <w:highlight w:val="none"/>
        </w:rPr>
        <w:t>“十三五”期间，坡头区教育“推现”工作成绩显著，</w:t>
      </w:r>
      <w:r>
        <w:rPr>
          <w:rFonts w:hint="eastAsia" w:ascii="Times New Roman" w:hAnsi="Times New Roman"/>
          <w:color w:val="auto"/>
          <w:highlight w:val="none"/>
          <w:lang w:eastAsia="zh-CN"/>
        </w:rPr>
        <w:t>2018</w:t>
      </w:r>
      <w:r>
        <w:rPr>
          <w:rFonts w:hint="eastAsia"/>
          <w:color w:val="auto"/>
          <w:highlight w:val="none"/>
        </w:rPr>
        <w:t>年获得“广东省推进教育现代化先进区”称号，被</w:t>
      </w:r>
      <w:r>
        <w:rPr>
          <w:rFonts w:hint="eastAsia"/>
          <w:color w:val="auto"/>
          <w:highlight w:val="none"/>
          <w:lang w:eastAsia="zh-CN"/>
        </w:rPr>
        <w:t>教育部</w:t>
      </w:r>
      <w:r>
        <w:rPr>
          <w:rFonts w:hint="eastAsia"/>
          <w:color w:val="auto"/>
          <w:highlight w:val="none"/>
        </w:rPr>
        <w:t>确定国家教育现代化监测样本县区。</w:t>
      </w:r>
      <w:r>
        <w:rPr>
          <w:rFonts w:hint="eastAsia" w:ascii="Times New Roman" w:hAnsi="Times New Roman"/>
          <w:color w:val="auto"/>
          <w:highlight w:val="none"/>
          <w:lang w:eastAsia="zh-CN"/>
        </w:rPr>
        <w:t>2017</w:t>
      </w:r>
      <w:r>
        <w:rPr>
          <w:rFonts w:hint="eastAsia"/>
          <w:color w:val="auto"/>
          <w:highlight w:val="none"/>
        </w:rPr>
        <w:t>-</w:t>
      </w:r>
      <w:r>
        <w:rPr>
          <w:rFonts w:hint="eastAsia" w:ascii="Times New Roman" w:hAnsi="Times New Roman"/>
          <w:color w:val="auto"/>
          <w:highlight w:val="none"/>
          <w:lang w:eastAsia="zh-CN"/>
        </w:rPr>
        <w:t>2019</w:t>
      </w:r>
      <w:r>
        <w:rPr>
          <w:rFonts w:hint="eastAsia"/>
          <w:color w:val="auto"/>
          <w:highlight w:val="none"/>
        </w:rPr>
        <w:t>年圆满完成国家义务教育质量监测工作，被省教育厅授予“优秀组织单位”。学前教育扎实推进“</w:t>
      </w:r>
      <w:r>
        <w:rPr>
          <w:rFonts w:hint="eastAsia" w:ascii="Times New Roman" w:hAnsi="Times New Roman"/>
          <w:color w:val="auto"/>
          <w:highlight w:val="none"/>
          <w:lang w:eastAsia="zh-CN"/>
        </w:rPr>
        <w:t>5080</w:t>
      </w:r>
      <w:r>
        <w:rPr>
          <w:rFonts w:hint="eastAsia"/>
          <w:color w:val="auto"/>
          <w:highlight w:val="none"/>
        </w:rPr>
        <w:t>工程”，公办和普惠性民办幼儿园占比</w:t>
      </w:r>
      <w:r>
        <w:rPr>
          <w:rFonts w:hint="eastAsia" w:ascii="Times New Roman" w:hAnsi="Times New Roman"/>
          <w:color w:val="auto"/>
          <w:highlight w:val="none"/>
          <w:lang w:eastAsia="zh-CN"/>
        </w:rPr>
        <w:t>82.85%</w:t>
      </w:r>
      <w:r>
        <w:rPr>
          <w:rFonts w:hint="eastAsia"/>
          <w:color w:val="auto"/>
          <w:highlight w:val="none"/>
        </w:rPr>
        <w:t>。义务教育向均衡优质发展，加快推进城区学位建设，投入</w:t>
      </w:r>
      <w:r>
        <w:rPr>
          <w:rFonts w:hint="eastAsia" w:ascii="Times New Roman" w:hAnsi="Times New Roman"/>
          <w:color w:val="auto"/>
          <w:highlight w:val="none"/>
          <w:lang w:eastAsia="zh-CN"/>
        </w:rPr>
        <w:t>2.6</w:t>
      </w:r>
      <w:r>
        <w:rPr>
          <w:rFonts w:hint="eastAsia"/>
          <w:color w:val="auto"/>
          <w:highlight w:val="none"/>
        </w:rPr>
        <w:t>亿元建成湛江市实验小学和湛江市三十二中学，新增优质学位</w:t>
      </w:r>
      <w:r>
        <w:rPr>
          <w:rFonts w:hint="eastAsia" w:ascii="Times New Roman" w:hAnsi="Times New Roman"/>
          <w:color w:val="auto"/>
          <w:highlight w:val="none"/>
          <w:lang w:eastAsia="zh-CN"/>
        </w:rPr>
        <w:t>4680</w:t>
      </w:r>
      <w:r>
        <w:rPr>
          <w:rFonts w:hint="eastAsia"/>
          <w:color w:val="auto"/>
          <w:highlight w:val="none"/>
        </w:rPr>
        <w:t>个，全区小学、初中适龄儿童入学率达</w:t>
      </w:r>
      <w:r>
        <w:rPr>
          <w:rFonts w:hint="eastAsia" w:ascii="Times New Roman" w:hAnsi="Times New Roman"/>
          <w:color w:val="auto"/>
          <w:highlight w:val="none"/>
          <w:lang w:eastAsia="zh-CN"/>
        </w:rPr>
        <w:t>100%</w:t>
      </w:r>
      <w:r>
        <w:rPr>
          <w:rFonts w:hint="eastAsia"/>
          <w:color w:val="auto"/>
          <w:highlight w:val="none"/>
        </w:rPr>
        <w:t>，外来务工人员子女入学率达</w:t>
      </w:r>
      <w:r>
        <w:rPr>
          <w:rFonts w:hint="eastAsia" w:ascii="Times New Roman" w:hAnsi="Times New Roman"/>
          <w:color w:val="auto"/>
          <w:highlight w:val="none"/>
          <w:lang w:eastAsia="zh-CN"/>
        </w:rPr>
        <w:t>100%</w:t>
      </w:r>
      <w:r>
        <w:rPr>
          <w:rFonts w:hint="eastAsia"/>
          <w:color w:val="auto"/>
          <w:highlight w:val="none"/>
        </w:rPr>
        <w:t>。建成坡头区特殊教育学校，适龄残疾儿童少年入学率达</w:t>
      </w:r>
      <w:r>
        <w:rPr>
          <w:rFonts w:hint="eastAsia" w:ascii="Times New Roman" w:hAnsi="Times New Roman"/>
          <w:color w:val="auto"/>
          <w:highlight w:val="none"/>
          <w:lang w:eastAsia="zh-CN"/>
        </w:rPr>
        <w:t>95.6%</w:t>
      </w:r>
      <w:r>
        <w:rPr>
          <w:rFonts w:hint="eastAsia"/>
          <w:color w:val="auto"/>
          <w:highlight w:val="none"/>
        </w:rPr>
        <w:t>。在全省率先开展区域学校联盟活动，名校、名师、名课创建活动成效突出，名师团队初具规模，学校内涵建设取得可喜成效。</w:t>
      </w:r>
    </w:p>
    <w:p>
      <w:pPr>
        <w:rPr>
          <w:color w:val="auto"/>
          <w:highlight w:val="none"/>
        </w:rPr>
      </w:pPr>
      <w:r>
        <w:rPr>
          <w:rFonts w:hint="eastAsia"/>
          <w:b/>
          <w:bCs/>
          <w:color w:val="auto"/>
          <w:szCs w:val="22"/>
          <w:highlight w:val="none"/>
        </w:rPr>
        <w:t>卫生事业稳步发展。</w:t>
      </w:r>
      <w:r>
        <w:rPr>
          <w:rFonts w:hint="eastAsia"/>
          <w:color w:val="auto"/>
          <w:highlight w:val="none"/>
        </w:rPr>
        <w:t>“十三五”期间，升级改造区人民医院新住院大楼、龙头镇中心卫生院，全面推进公建民营村卫生站，乡镇卫生院标准化建设任务全部完成，基本公共卫生服务和医疗服务水平明显提高。</w:t>
      </w:r>
      <w:r>
        <w:rPr>
          <w:rFonts w:hint="eastAsia"/>
          <w:color w:val="auto"/>
          <w:szCs w:val="22"/>
          <w:highlight w:val="none"/>
        </w:rPr>
        <w:t>广东医科大学附属医院海东院区</w:t>
      </w:r>
      <w:r>
        <w:rPr>
          <w:rFonts w:hint="eastAsia"/>
          <w:color w:val="auto"/>
          <w:szCs w:val="22"/>
          <w:highlight w:val="none"/>
          <w:lang w:val="en-US" w:eastAsia="zh-CN"/>
        </w:rPr>
        <w:t>、</w:t>
      </w:r>
      <w:r>
        <w:rPr>
          <w:rFonts w:hint="eastAsia"/>
          <w:color w:val="auto"/>
          <w:szCs w:val="22"/>
          <w:highlight w:val="none"/>
        </w:rPr>
        <w:t>湛江市坡头区妇幼保健院</w:t>
      </w:r>
      <w:r>
        <w:rPr>
          <w:rFonts w:hint="eastAsia"/>
          <w:color w:val="auto"/>
          <w:szCs w:val="22"/>
          <w:highlight w:val="none"/>
          <w:lang w:val="en-US" w:eastAsia="zh-CN"/>
        </w:rPr>
        <w:t>迁建工程动工建设</w:t>
      </w:r>
      <w:r>
        <w:rPr>
          <w:rFonts w:hint="eastAsia"/>
          <w:color w:val="auto"/>
          <w:szCs w:val="22"/>
          <w:highlight w:val="none"/>
          <w:lang w:eastAsia="zh-CN"/>
        </w:rPr>
        <w:t>。</w:t>
      </w:r>
      <w:r>
        <w:rPr>
          <w:rFonts w:hint="eastAsia"/>
          <w:color w:val="auto"/>
          <w:highlight w:val="none"/>
        </w:rPr>
        <w:t>成功获</w:t>
      </w:r>
      <w:r>
        <w:rPr>
          <w:rFonts w:hint="eastAsia"/>
          <w:color w:val="auto"/>
          <w:highlight w:val="none"/>
          <w:lang w:val="en-US" w:eastAsia="zh-CN"/>
        </w:rPr>
        <w:t>得</w:t>
      </w:r>
      <w:r>
        <w:rPr>
          <w:rFonts w:hint="eastAsia"/>
          <w:color w:val="auto"/>
          <w:highlight w:val="none"/>
        </w:rPr>
        <w:t>“全国计划生育优质服务先进单位”招牌</w:t>
      </w:r>
      <w:r>
        <w:rPr>
          <w:rFonts w:hint="eastAsia"/>
          <w:color w:val="auto"/>
          <w:highlight w:val="none"/>
          <w:lang w:eastAsia="zh-CN"/>
        </w:rPr>
        <w:t>，</w:t>
      </w:r>
      <w:r>
        <w:rPr>
          <w:rFonts w:hint="eastAsia"/>
          <w:color w:val="auto"/>
          <w:highlight w:val="none"/>
        </w:rPr>
        <w:t>共有</w:t>
      </w:r>
      <w:r>
        <w:rPr>
          <w:rFonts w:hint="eastAsia" w:ascii="Times New Roman" w:hAnsi="Times New Roman"/>
          <w:color w:val="auto"/>
          <w:highlight w:val="none"/>
          <w:lang w:eastAsia="zh-CN"/>
        </w:rPr>
        <w:t>68</w:t>
      </w:r>
      <w:r>
        <w:rPr>
          <w:rFonts w:hint="eastAsia"/>
          <w:color w:val="auto"/>
          <w:highlight w:val="none"/>
        </w:rPr>
        <w:t>条自然村成功创建市级卫生村。坡头镇、官渡镇、乾塘镇等</w:t>
      </w:r>
      <w:r>
        <w:rPr>
          <w:rFonts w:hint="eastAsia" w:ascii="Times New Roman" w:hAnsi="Times New Roman"/>
          <w:color w:val="auto"/>
          <w:highlight w:val="none"/>
          <w:lang w:eastAsia="zh-CN"/>
        </w:rPr>
        <w:t>3</w:t>
      </w:r>
      <w:r>
        <w:rPr>
          <w:rFonts w:hint="eastAsia"/>
          <w:color w:val="auto"/>
          <w:highlight w:val="none"/>
        </w:rPr>
        <w:t>个镇病媒生物防制达到病媒生物防制国家</w:t>
      </w:r>
      <w:r>
        <w:rPr>
          <w:rFonts w:hint="eastAsia" w:ascii="Times New Roman" w:hAnsi="Times New Roman"/>
          <w:color w:val="auto"/>
          <w:highlight w:val="none"/>
          <w:lang w:eastAsia="zh-CN"/>
        </w:rPr>
        <w:t>C</w:t>
      </w:r>
      <w:r>
        <w:rPr>
          <w:rFonts w:hint="eastAsia"/>
          <w:color w:val="auto"/>
          <w:highlight w:val="none"/>
        </w:rPr>
        <w:t>级标准。新冠疫情防控取得重大成果。</w:t>
      </w:r>
    </w:p>
    <w:p>
      <w:pPr>
        <w:rPr>
          <w:color w:val="auto"/>
          <w:highlight w:val="none"/>
        </w:rPr>
      </w:pPr>
      <w:r>
        <w:rPr>
          <w:rFonts w:hint="eastAsia"/>
          <w:b/>
          <w:bCs/>
          <w:color w:val="auto"/>
          <w:szCs w:val="22"/>
          <w:highlight w:val="none"/>
        </w:rPr>
        <w:t>社会保障体系基本稳定。</w:t>
      </w:r>
      <w:r>
        <w:rPr>
          <w:rFonts w:hint="eastAsia"/>
          <w:color w:val="auto"/>
          <w:highlight w:val="none"/>
        </w:rPr>
        <w:t>社会保障体系进一步完善，落实建档立卡贫困人口参保全覆盖，社会保障扩面提质稳步推进，截至</w:t>
      </w:r>
      <w:r>
        <w:rPr>
          <w:rFonts w:hint="eastAsia" w:ascii="Times New Roman" w:hAnsi="Times New Roman"/>
          <w:color w:val="auto"/>
          <w:highlight w:val="none"/>
          <w:lang w:eastAsia="zh-CN"/>
        </w:rPr>
        <w:t>2020</w:t>
      </w:r>
      <w:r>
        <w:rPr>
          <w:rFonts w:hint="eastAsia"/>
          <w:color w:val="auto"/>
          <w:highlight w:val="none"/>
        </w:rPr>
        <w:t>年底，全区城乡</w:t>
      </w:r>
      <w:r>
        <w:rPr>
          <w:rFonts w:hint="eastAsia"/>
          <w:color w:val="auto"/>
          <w:highlight w:val="none"/>
          <w:lang w:val="en-US" w:eastAsia="zh-CN"/>
        </w:rPr>
        <w:t>居民养老保险</w:t>
      </w:r>
      <w:r>
        <w:rPr>
          <w:rFonts w:hint="eastAsia"/>
          <w:color w:val="auto"/>
          <w:highlight w:val="none"/>
        </w:rPr>
        <w:t>参保人数达</w:t>
      </w:r>
      <w:r>
        <w:rPr>
          <w:rFonts w:hint="eastAsia" w:ascii="Times New Roman" w:hAnsi="Times New Roman"/>
          <w:color w:val="auto"/>
          <w:highlight w:val="none"/>
          <w:lang w:eastAsia="zh-CN"/>
        </w:rPr>
        <w:t>18</w:t>
      </w:r>
      <w:r>
        <w:rPr>
          <w:rFonts w:hint="eastAsia"/>
          <w:color w:val="auto"/>
          <w:highlight w:val="none"/>
        </w:rPr>
        <w:t>万，</w:t>
      </w:r>
      <w:r>
        <w:rPr>
          <w:rFonts w:hint="eastAsia"/>
          <w:color w:val="auto"/>
          <w:highlight w:val="none"/>
          <w:lang w:val="en-US" w:eastAsia="zh-CN"/>
        </w:rPr>
        <w:t>城乡居民基本医疗保险参保人数达</w:t>
      </w:r>
      <w:r>
        <w:rPr>
          <w:rFonts w:hint="eastAsia" w:ascii="Times New Roman" w:hAnsi="Times New Roman"/>
          <w:color w:val="auto"/>
          <w:highlight w:val="none"/>
          <w:lang w:val="en-US" w:eastAsia="zh-CN"/>
        </w:rPr>
        <w:t>34</w:t>
      </w:r>
      <w:r>
        <w:rPr>
          <w:rFonts w:hint="eastAsia"/>
          <w:color w:val="auto"/>
          <w:highlight w:val="none"/>
          <w:lang w:val="en-US" w:eastAsia="zh-CN"/>
        </w:rPr>
        <w:t>万</w:t>
      </w:r>
      <w:r>
        <w:rPr>
          <w:rFonts w:hint="eastAsia"/>
          <w:color w:val="auto"/>
          <w:highlight w:val="none"/>
        </w:rPr>
        <w:t>。</w:t>
      </w:r>
    </w:p>
    <w:p>
      <w:pPr>
        <w:rPr>
          <w:color w:val="auto"/>
          <w:highlight w:val="none"/>
        </w:rPr>
      </w:pPr>
      <w:r>
        <w:rPr>
          <w:rFonts w:hint="eastAsia"/>
          <w:b/>
          <w:bCs/>
          <w:color w:val="auto"/>
          <w:szCs w:val="22"/>
          <w:highlight w:val="none"/>
        </w:rPr>
        <w:t>人民生活水平不断提升。</w:t>
      </w:r>
      <w:r>
        <w:rPr>
          <w:rFonts w:hint="eastAsia" w:ascii="Times New Roman" w:hAnsi="Times New Roman"/>
          <w:color w:val="auto"/>
          <w:highlight w:val="none"/>
          <w:lang w:eastAsia="zh-CN"/>
        </w:rPr>
        <w:t>2020</w:t>
      </w:r>
      <w:r>
        <w:rPr>
          <w:rFonts w:hint="eastAsia"/>
          <w:color w:val="auto"/>
          <w:highlight w:val="none"/>
        </w:rPr>
        <w:t>年，全体居民人均可支配收入达到</w:t>
      </w:r>
      <w:r>
        <w:rPr>
          <w:rFonts w:hint="eastAsia" w:ascii="Times New Roman" w:hAnsi="Times New Roman"/>
          <w:color w:val="auto"/>
          <w:highlight w:val="none"/>
          <w:lang w:val="en-US" w:eastAsia="zh-CN"/>
        </w:rPr>
        <w:t>25574</w:t>
      </w:r>
      <w:r>
        <w:rPr>
          <w:rFonts w:hint="eastAsia"/>
          <w:color w:val="auto"/>
          <w:highlight w:val="none"/>
        </w:rPr>
        <w:t>元，与</w:t>
      </w:r>
      <w:r>
        <w:rPr>
          <w:rFonts w:hint="eastAsia" w:ascii="Times New Roman" w:hAnsi="Times New Roman"/>
          <w:color w:val="auto"/>
          <w:highlight w:val="none"/>
          <w:lang w:eastAsia="zh-CN"/>
        </w:rPr>
        <w:t>2015</w:t>
      </w:r>
      <w:r>
        <w:rPr>
          <w:rFonts w:hint="eastAsia"/>
          <w:color w:val="auto"/>
          <w:highlight w:val="none"/>
        </w:rPr>
        <w:t>年相比增加</w:t>
      </w:r>
      <w:r>
        <w:rPr>
          <w:rFonts w:hint="eastAsia" w:ascii="Times New Roman" w:hAnsi="Times New Roman"/>
          <w:color w:val="auto"/>
          <w:highlight w:val="none"/>
          <w:lang w:val="en-US" w:eastAsia="zh-CN"/>
        </w:rPr>
        <w:t>40.8</w:t>
      </w:r>
      <w:r>
        <w:rPr>
          <w:rFonts w:hint="eastAsia" w:ascii="Times New Roman" w:hAnsi="Times New Roman"/>
          <w:color w:val="auto"/>
          <w:highlight w:val="none"/>
          <w:lang w:eastAsia="zh-CN"/>
        </w:rPr>
        <w:t>%</w:t>
      </w:r>
      <w:r>
        <w:rPr>
          <w:rFonts w:hint="eastAsia"/>
          <w:color w:val="auto"/>
          <w:highlight w:val="none"/>
        </w:rPr>
        <w:t>；积极稳定和扩大就业，五年间全区城镇新增就业</w:t>
      </w:r>
      <w:r>
        <w:rPr>
          <w:rFonts w:hint="eastAsia" w:ascii="Times New Roman" w:hAnsi="Times New Roman"/>
          <w:color w:val="auto"/>
          <w:highlight w:val="none"/>
          <w:lang w:eastAsia="zh-CN"/>
        </w:rPr>
        <w:t>19008</w:t>
      </w:r>
      <w:r>
        <w:rPr>
          <w:rFonts w:hint="eastAsia"/>
          <w:color w:val="auto"/>
          <w:highlight w:val="none"/>
        </w:rPr>
        <w:t>人，新增转移农村劳动力就业</w:t>
      </w:r>
      <w:r>
        <w:rPr>
          <w:rFonts w:hint="eastAsia" w:ascii="Times New Roman" w:hAnsi="Times New Roman"/>
          <w:color w:val="auto"/>
          <w:highlight w:val="none"/>
          <w:lang w:eastAsia="zh-CN"/>
        </w:rPr>
        <w:t>16679</w:t>
      </w:r>
      <w:r>
        <w:rPr>
          <w:rFonts w:hint="eastAsia"/>
          <w:color w:val="auto"/>
          <w:highlight w:val="none"/>
        </w:rPr>
        <w:t>人，下岗失业人员再就业</w:t>
      </w:r>
      <w:r>
        <w:rPr>
          <w:rFonts w:hint="eastAsia" w:ascii="Times New Roman" w:hAnsi="Times New Roman"/>
          <w:color w:val="auto"/>
          <w:highlight w:val="none"/>
          <w:lang w:eastAsia="zh-CN"/>
        </w:rPr>
        <w:t>5994</w:t>
      </w:r>
      <w:r>
        <w:rPr>
          <w:rFonts w:hint="eastAsia"/>
          <w:color w:val="auto"/>
          <w:highlight w:val="none"/>
        </w:rPr>
        <w:t>人，城镇登记失业率在</w:t>
      </w:r>
      <w:r>
        <w:rPr>
          <w:rFonts w:hint="eastAsia" w:ascii="Times New Roman" w:hAnsi="Times New Roman"/>
          <w:color w:val="auto"/>
          <w:highlight w:val="none"/>
          <w:lang w:eastAsia="zh-CN"/>
        </w:rPr>
        <w:t>2.16%</w:t>
      </w:r>
      <w:r>
        <w:rPr>
          <w:rFonts w:hint="eastAsia"/>
          <w:color w:val="auto"/>
          <w:highlight w:val="none"/>
          <w:lang w:val="en-US" w:eastAsia="zh-CN"/>
        </w:rPr>
        <w:t>至</w:t>
      </w:r>
      <w:r>
        <w:rPr>
          <w:rFonts w:hint="eastAsia" w:ascii="Times New Roman" w:hAnsi="Times New Roman"/>
          <w:color w:val="auto"/>
          <w:highlight w:val="none"/>
          <w:lang w:eastAsia="zh-CN"/>
        </w:rPr>
        <w:t>2.36%</w:t>
      </w:r>
      <w:r>
        <w:rPr>
          <w:rFonts w:hint="eastAsia"/>
          <w:color w:val="auto"/>
          <w:highlight w:val="none"/>
        </w:rPr>
        <w:t>之间，低于</w:t>
      </w:r>
      <w:r>
        <w:rPr>
          <w:rFonts w:hint="eastAsia" w:ascii="Times New Roman" w:hAnsi="Times New Roman"/>
          <w:color w:val="auto"/>
          <w:highlight w:val="none"/>
          <w:lang w:eastAsia="zh-CN"/>
        </w:rPr>
        <w:t>3.5%</w:t>
      </w:r>
      <w:r>
        <w:rPr>
          <w:rFonts w:hint="eastAsia"/>
          <w:color w:val="auto"/>
          <w:highlight w:val="none"/>
        </w:rPr>
        <w:t>的控制线。</w:t>
      </w:r>
    </w:p>
    <w:p>
      <w:pPr>
        <w:rPr>
          <w:rFonts w:hint="default"/>
          <w:color w:val="auto"/>
          <w:highlight w:val="none"/>
          <w:lang w:val="en-US"/>
        </w:rPr>
      </w:pPr>
      <w:r>
        <w:rPr>
          <w:rFonts w:hint="eastAsia"/>
          <w:b/>
          <w:bCs/>
          <w:color w:val="auto"/>
          <w:szCs w:val="22"/>
          <w:highlight w:val="none"/>
        </w:rPr>
        <w:t>文化体育事业全面推进。</w:t>
      </w:r>
      <w:r>
        <w:rPr>
          <w:rFonts w:hint="eastAsia"/>
          <w:color w:val="auto"/>
          <w:highlight w:val="none"/>
        </w:rPr>
        <w:t>区内文化基础设施建设不断提档升级，区</w:t>
      </w:r>
      <w:r>
        <w:rPr>
          <w:rFonts w:hint="eastAsia"/>
          <w:color w:val="auto"/>
          <w:highlight w:val="none"/>
          <w:lang w:val="en-US" w:eastAsia="zh-CN"/>
        </w:rPr>
        <w:t>文化活动中心（</w:t>
      </w:r>
      <w:r>
        <w:rPr>
          <w:rFonts w:hint="eastAsia"/>
          <w:color w:val="auto"/>
          <w:highlight w:val="none"/>
        </w:rPr>
        <w:t>文化馆、图书馆、博物馆</w:t>
      </w:r>
      <w:r>
        <w:rPr>
          <w:rFonts w:hint="eastAsia"/>
          <w:color w:val="auto"/>
          <w:highlight w:val="none"/>
          <w:lang w:val="en-US" w:eastAsia="zh-CN"/>
        </w:rPr>
        <w:t>）</w:t>
      </w:r>
      <w:r>
        <w:rPr>
          <w:rFonts w:hint="eastAsia"/>
          <w:color w:val="auto"/>
          <w:highlight w:val="none"/>
        </w:rPr>
        <w:t>“三馆合一”文化活动中心顺利完成主体工程，全区建成</w:t>
      </w:r>
      <w:r>
        <w:rPr>
          <w:rFonts w:hint="eastAsia" w:ascii="Times New Roman" w:hAnsi="Times New Roman"/>
          <w:color w:val="auto"/>
          <w:highlight w:val="none"/>
          <w:lang w:eastAsia="zh-CN"/>
        </w:rPr>
        <w:t>69</w:t>
      </w:r>
      <w:r>
        <w:rPr>
          <w:rFonts w:hint="eastAsia"/>
          <w:color w:val="auto"/>
          <w:highlight w:val="none"/>
        </w:rPr>
        <w:t>个村（社区）文化综合服务中心，实现了文化综合服务中心全覆盖。</w:t>
      </w:r>
      <w:r>
        <w:rPr>
          <w:rFonts w:hint="eastAsia"/>
          <w:color w:val="auto"/>
          <w:highlight w:val="none"/>
          <w:lang w:val="en-US" w:eastAsia="zh-CN"/>
        </w:rPr>
        <w:t>成功申报《五爹豆腐》《湴塘山歌》《罗候王庙庙会》等非遗项目，推进《坡头木偶戏》传承人的申报工作。</w:t>
      </w:r>
      <w:r>
        <w:rPr>
          <w:rFonts w:hint="eastAsia"/>
          <w:color w:val="auto"/>
          <w:highlight w:val="none"/>
        </w:rPr>
        <w:t>体育竞技方面取得</w:t>
      </w:r>
      <w:r>
        <w:rPr>
          <w:rFonts w:hint="eastAsia"/>
          <w:color w:val="auto"/>
          <w:highlight w:val="none"/>
          <w:lang w:val="en-US" w:eastAsia="zh-CN"/>
        </w:rPr>
        <w:t>骄人</w:t>
      </w:r>
      <w:r>
        <w:rPr>
          <w:rFonts w:hint="eastAsia"/>
          <w:color w:val="auto"/>
          <w:highlight w:val="none"/>
        </w:rPr>
        <w:t>成绩</w:t>
      </w:r>
      <w:r>
        <w:rPr>
          <w:rFonts w:hint="eastAsia"/>
          <w:color w:val="auto"/>
          <w:highlight w:val="none"/>
          <w:lang w:eastAsia="zh-CN"/>
        </w:rPr>
        <w:t>。</w:t>
      </w:r>
      <w:r>
        <w:rPr>
          <w:rFonts w:hint="eastAsia"/>
          <w:color w:val="auto"/>
          <w:highlight w:val="none"/>
          <w:lang w:val="en-US" w:eastAsia="zh-CN"/>
        </w:rPr>
        <w:t>坡头区</w:t>
      </w:r>
      <w:r>
        <w:rPr>
          <w:rFonts w:hint="eastAsia"/>
          <w:color w:val="auto"/>
          <w:highlight w:val="none"/>
        </w:rPr>
        <w:t>运动员参加全国中学生总决赛获得金牌</w:t>
      </w:r>
      <w:r>
        <w:rPr>
          <w:rFonts w:hint="eastAsia" w:ascii="Times New Roman" w:hAnsi="Times New Roman"/>
          <w:color w:val="auto"/>
          <w:highlight w:val="none"/>
          <w:lang w:eastAsia="zh-CN"/>
        </w:rPr>
        <w:t>1</w:t>
      </w:r>
      <w:r>
        <w:rPr>
          <w:rFonts w:hint="eastAsia"/>
          <w:color w:val="auto"/>
          <w:highlight w:val="none"/>
        </w:rPr>
        <w:t>枚、银牌</w:t>
      </w:r>
      <w:r>
        <w:rPr>
          <w:rFonts w:hint="eastAsia" w:ascii="Times New Roman" w:hAnsi="Times New Roman"/>
          <w:color w:val="auto"/>
          <w:highlight w:val="none"/>
          <w:lang w:eastAsia="zh-CN"/>
        </w:rPr>
        <w:t>1</w:t>
      </w:r>
      <w:r>
        <w:rPr>
          <w:rFonts w:hint="eastAsia"/>
          <w:color w:val="auto"/>
          <w:highlight w:val="none"/>
        </w:rPr>
        <w:t>枚，</w:t>
      </w:r>
      <w:r>
        <w:rPr>
          <w:rFonts w:hint="eastAsia" w:ascii="仿宋" w:hAnsi="仿宋" w:eastAsia="仿宋" w:cs="仿宋"/>
          <w:b w:val="0"/>
          <w:bCs w:val="0"/>
          <w:color w:val="auto"/>
          <w:sz w:val="32"/>
          <w:szCs w:val="32"/>
          <w:highlight w:val="none"/>
          <w:lang w:val="en-US" w:eastAsia="zh-CN"/>
        </w:rPr>
        <w:t>向省专业队输送</w:t>
      </w:r>
      <w:r>
        <w:rPr>
          <w:rFonts w:hint="eastAsia" w:ascii="Times New Roman" w:hAnsi="Times New Roman" w:cs="仿宋"/>
          <w:b w:val="0"/>
          <w:bCs w:val="0"/>
          <w:color w:val="auto"/>
          <w:sz w:val="32"/>
          <w:szCs w:val="32"/>
          <w:highlight w:val="none"/>
          <w:lang w:val="en-US" w:eastAsia="zh-CN"/>
        </w:rPr>
        <w:t>1</w:t>
      </w:r>
      <w:r>
        <w:rPr>
          <w:rFonts w:hint="eastAsia" w:ascii="仿宋" w:hAnsi="仿宋" w:eastAsia="仿宋" w:cs="仿宋"/>
          <w:b w:val="0"/>
          <w:bCs w:val="0"/>
          <w:color w:val="auto"/>
          <w:sz w:val="32"/>
          <w:szCs w:val="32"/>
          <w:highlight w:val="none"/>
          <w:lang w:val="en-US" w:eastAsia="zh-CN"/>
        </w:rPr>
        <w:t>名集训运动员</w:t>
      </w:r>
      <w:r>
        <w:rPr>
          <w:rFonts w:hint="eastAsia" w:ascii="仿宋" w:hAnsi="仿宋" w:cs="仿宋"/>
          <w:b w:val="0"/>
          <w:bCs w:val="0"/>
          <w:color w:val="auto"/>
          <w:sz w:val="32"/>
          <w:szCs w:val="32"/>
          <w:highlight w:val="none"/>
          <w:lang w:val="en-US" w:eastAsia="zh-CN"/>
        </w:rPr>
        <w:t>。</w:t>
      </w:r>
    </w:p>
    <w:p>
      <w:pPr>
        <w:pStyle w:val="5"/>
        <w:rPr>
          <w:rFonts w:ascii="仿宋" w:hAnsi="仿宋" w:eastAsia="仿宋" w:cs="仿宋"/>
          <w:color w:val="auto"/>
          <w:highlight w:val="none"/>
        </w:rPr>
      </w:pPr>
      <w:r>
        <w:rPr>
          <w:rFonts w:hint="eastAsia" w:ascii="楷体" w:hAnsi="楷体" w:eastAsia="楷体" w:cs="楷体"/>
          <w:color w:val="auto"/>
          <w:highlight w:val="none"/>
        </w:rPr>
        <w:t>八、社会治理现代化步伐加快</w:t>
      </w:r>
    </w:p>
    <w:p>
      <w:pPr>
        <w:pStyle w:val="2"/>
        <w:rPr>
          <w:rFonts w:hint="eastAsia" w:ascii="Times New Roman" w:hAnsi="Times New Roman" w:eastAsia="仿宋" w:cs="Times New Roman"/>
          <w:color w:val="auto"/>
          <w:kern w:val="2"/>
          <w:sz w:val="32"/>
          <w:szCs w:val="22"/>
          <w:highlight w:val="none"/>
          <w:lang w:val="en-US" w:eastAsia="zh-CN" w:bidi="ar-SA"/>
        </w:rPr>
      </w:pPr>
      <w:r>
        <w:rPr>
          <w:rFonts w:hint="eastAsia" w:ascii="Times New Roman" w:hAnsi="Times New Roman" w:eastAsia="仿宋" w:cs="Times New Roman"/>
          <w:color w:val="auto"/>
          <w:kern w:val="2"/>
          <w:sz w:val="32"/>
          <w:szCs w:val="22"/>
          <w:highlight w:val="none"/>
          <w:lang w:val="en-US" w:eastAsia="zh-CN" w:bidi="ar-SA"/>
        </w:rPr>
        <w:t>社会治理现代化建设持续推进，重大风险防范有效化解，全区社会大局保持稳定，基层社会治理不断深入，“中心+网格化+信息化”工作体系进一步完善，违法犯罪得到有效防控、矛盾纠纷得到有效化解、公共安全隐患得到有效排除。2016年坡头镇被列为镇（街）综治信访维稳中心目标管理和综治网格化管理省级试点单位。2018年荣获第四批全国法治县（市、区）创建活动先进单位称号。平安建设成为全市典范，2015年至2017年，连续三年获得市综治工作（平安建设）考评第一名，2017年，被中央综治委授予“全国平安建设先进县（市、区）”荣誉称号，281个平安村（社区）通过区平安细胞建设达标点、优秀点、示范点验收，平安镇（街）、平安村（社区）、平安单位创建覆盖率达到100%。</w:t>
      </w:r>
    </w:p>
    <w:p>
      <w:pPr>
        <w:widowControl/>
        <w:spacing w:line="240" w:lineRule="auto"/>
        <w:ind w:firstLine="0" w:firstLineChars="0"/>
        <w:jc w:val="center"/>
        <w:textAlignment w:val="baseline"/>
        <w:rPr>
          <w:rFonts w:hint="eastAsia" w:ascii="Times New Roman" w:hAnsi="Times New Roman" w:eastAsia="黑体" w:cs="Times New Roman"/>
          <w:b w:val="0"/>
          <w:bCs w:val="0"/>
          <w:color w:val="auto"/>
          <w:kern w:val="0"/>
          <w:sz w:val="32"/>
          <w:szCs w:val="32"/>
          <w:highlight w:val="none"/>
          <w:lang w:val="en-US" w:eastAsia="zh-CN"/>
        </w:rPr>
      </w:pPr>
      <w:bookmarkStart w:id="17" w:name="_Toc15368"/>
      <w:bookmarkStart w:id="18" w:name="_Toc21782"/>
      <w:bookmarkStart w:id="19" w:name="_Toc53003154"/>
      <w:bookmarkStart w:id="20" w:name="_Toc19356"/>
      <w:bookmarkStart w:id="21" w:name="_Toc375"/>
      <w:bookmarkStart w:id="22" w:name="_Toc22173"/>
    </w:p>
    <w:p>
      <w:pPr>
        <w:pStyle w:val="2"/>
        <w:rPr>
          <w:rFonts w:hint="eastAsia"/>
          <w:lang w:val="en-US" w:eastAsia="zh-CN"/>
        </w:rPr>
      </w:pPr>
    </w:p>
    <w:p>
      <w:pPr>
        <w:widowControl/>
        <w:spacing w:line="240" w:lineRule="auto"/>
        <w:ind w:firstLine="0" w:firstLineChars="0"/>
        <w:jc w:val="center"/>
        <w:textAlignment w:val="baseline"/>
        <w:rPr>
          <w:rFonts w:ascii="Times New Roman" w:hAnsi="Times New Roman" w:eastAsia="黑体" w:cs="Times New Roman"/>
          <w:b w:val="0"/>
          <w:bCs w:val="0"/>
          <w:color w:val="auto"/>
          <w:kern w:val="0"/>
          <w:sz w:val="32"/>
          <w:szCs w:val="32"/>
          <w:highlight w:val="none"/>
        </w:rPr>
      </w:pPr>
      <w:r>
        <w:rPr>
          <w:rFonts w:hint="eastAsia" w:ascii="Times New Roman" w:hAnsi="Times New Roman" w:eastAsia="黑体" w:cs="Times New Roman"/>
          <w:b w:val="0"/>
          <w:bCs w:val="0"/>
          <w:color w:val="auto"/>
          <w:kern w:val="0"/>
          <w:sz w:val="32"/>
          <w:szCs w:val="32"/>
          <w:highlight w:val="none"/>
          <w:lang w:val="en-US" w:eastAsia="zh-CN"/>
        </w:rPr>
        <w:t>坡头区</w:t>
      </w:r>
      <w:r>
        <w:rPr>
          <w:rFonts w:ascii="仿宋" w:hAnsi="仿宋" w:eastAsia="仿宋" w:cs="Times New Roman"/>
          <w:b w:val="0"/>
          <w:bCs w:val="0"/>
          <w:color w:val="auto"/>
          <w:kern w:val="0"/>
          <w:sz w:val="32"/>
          <w:szCs w:val="32"/>
          <w:highlight w:val="none"/>
        </w:rPr>
        <w:t>“</w:t>
      </w:r>
      <w:r>
        <w:rPr>
          <w:rFonts w:ascii="Times New Roman" w:hAnsi="Times New Roman" w:eastAsia="黑体" w:cs="Times New Roman"/>
          <w:b w:val="0"/>
          <w:bCs w:val="0"/>
          <w:color w:val="auto"/>
          <w:kern w:val="0"/>
          <w:sz w:val="32"/>
          <w:szCs w:val="32"/>
          <w:highlight w:val="none"/>
        </w:rPr>
        <w:t>十三五</w:t>
      </w:r>
      <w:r>
        <w:rPr>
          <w:rFonts w:ascii="仿宋" w:hAnsi="仿宋" w:eastAsia="仿宋" w:cs="Times New Roman"/>
          <w:b w:val="0"/>
          <w:bCs w:val="0"/>
          <w:color w:val="auto"/>
          <w:kern w:val="0"/>
          <w:sz w:val="32"/>
          <w:szCs w:val="32"/>
          <w:highlight w:val="none"/>
        </w:rPr>
        <w:t>”</w:t>
      </w:r>
      <w:r>
        <w:rPr>
          <w:rFonts w:ascii="Times New Roman" w:hAnsi="Times New Roman" w:eastAsia="黑体" w:cs="Times New Roman"/>
          <w:b w:val="0"/>
          <w:bCs w:val="0"/>
          <w:color w:val="auto"/>
          <w:kern w:val="0"/>
          <w:sz w:val="32"/>
          <w:szCs w:val="32"/>
          <w:highlight w:val="none"/>
        </w:rPr>
        <w:t>规划经济社会发展主要预期</w:t>
      </w:r>
    </w:p>
    <w:p>
      <w:pPr>
        <w:widowControl/>
        <w:spacing w:line="240" w:lineRule="auto"/>
        <w:ind w:firstLine="0" w:firstLineChars="0"/>
        <w:jc w:val="center"/>
        <w:textAlignment w:val="baseline"/>
        <w:rPr>
          <w:rFonts w:ascii="Calibri" w:hAnsi="Calibri" w:eastAsia="黑体" w:cs="Times New Roman"/>
          <w:b w:val="0"/>
          <w:bCs w:val="0"/>
          <w:color w:val="auto"/>
          <w:kern w:val="0"/>
          <w:sz w:val="32"/>
          <w:szCs w:val="32"/>
          <w:highlight w:val="none"/>
        </w:rPr>
      </w:pPr>
      <w:r>
        <w:rPr>
          <w:rFonts w:ascii="Times New Roman" w:hAnsi="Times New Roman" w:eastAsia="黑体" w:cs="Times New Roman"/>
          <w:b w:val="0"/>
          <w:bCs w:val="0"/>
          <w:color w:val="auto"/>
          <w:kern w:val="0"/>
          <w:sz w:val="32"/>
          <w:szCs w:val="32"/>
          <w:highlight w:val="none"/>
        </w:rPr>
        <w:t>目标完成情况</w:t>
      </w:r>
    </w:p>
    <w:tbl>
      <w:tblPr>
        <w:tblStyle w:val="14"/>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0"/>
        <w:gridCol w:w="1149"/>
        <w:gridCol w:w="19"/>
        <w:gridCol w:w="1764"/>
        <w:gridCol w:w="1095"/>
        <w:gridCol w:w="1224"/>
        <w:gridCol w:w="6"/>
        <w:gridCol w:w="972"/>
        <w:gridCol w:w="8"/>
        <w:gridCol w:w="946"/>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0" w:hRule="atLeast"/>
          <w:tblHeader/>
          <w:jc w:val="center"/>
        </w:trPr>
        <w:tc>
          <w:tcPr>
            <w:tcW w:w="830" w:type="dxa"/>
            <w:noWrap w:val="0"/>
            <w:vAlign w:val="center"/>
          </w:tcPr>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类别</w:t>
            </w: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序号</w:t>
            </w:r>
          </w:p>
        </w:tc>
        <w:tc>
          <w:tcPr>
            <w:tcW w:w="2932" w:type="dxa"/>
            <w:gridSpan w:val="3"/>
            <w:noWrap w:val="0"/>
            <w:vAlign w:val="center"/>
          </w:tcPr>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指</w:t>
            </w:r>
            <w:r>
              <w:rPr>
                <w:rFonts w:hint="eastAsia" w:eastAsia="宋体" w:cs="Times New Roman"/>
                <w:b/>
                <w:bCs/>
                <w:color w:val="auto"/>
                <w:kern w:val="0"/>
                <w:sz w:val="24"/>
                <w:szCs w:val="24"/>
                <w:highlight w:val="none"/>
                <w:lang w:val="en-US" w:eastAsia="zh-CN"/>
              </w:rPr>
              <w:t xml:space="preserve">   </w:t>
            </w:r>
            <w:r>
              <w:rPr>
                <w:rFonts w:ascii="Times New Roman" w:hAnsi="Times New Roman" w:eastAsia="宋体" w:cs="Times New Roman"/>
                <w:b/>
                <w:bCs/>
                <w:color w:val="auto"/>
                <w:kern w:val="0"/>
                <w:sz w:val="24"/>
                <w:szCs w:val="24"/>
                <w:highlight w:val="none"/>
              </w:rPr>
              <w:t>标</w:t>
            </w:r>
          </w:p>
        </w:tc>
        <w:tc>
          <w:tcPr>
            <w:tcW w:w="1095" w:type="dxa"/>
            <w:noWrap w:val="0"/>
            <w:vAlign w:val="center"/>
          </w:tcPr>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lang w:eastAsia="zh-CN"/>
              </w:rPr>
              <w:t>2015</w:t>
            </w:r>
            <w:r>
              <w:rPr>
                <w:rFonts w:ascii="Times New Roman" w:hAnsi="Times New Roman" w:eastAsia="宋体" w:cs="Times New Roman"/>
                <w:b/>
                <w:bCs/>
                <w:color w:val="auto"/>
                <w:kern w:val="0"/>
                <w:sz w:val="24"/>
                <w:szCs w:val="24"/>
                <w:highlight w:val="none"/>
              </w:rPr>
              <w:t>年</w:t>
            </w:r>
          </w:p>
        </w:tc>
        <w:tc>
          <w:tcPr>
            <w:tcW w:w="1224" w:type="dxa"/>
            <w:noWrap w:val="0"/>
            <w:vAlign w:val="center"/>
          </w:tcPr>
          <w:p>
            <w:pPr>
              <w:widowControl/>
              <w:spacing w:line="240" w:lineRule="auto"/>
              <w:ind w:firstLine="0" w:firstLineChars="0"/>
              <w:jc w:val="center"/>
              <w:textAlignment w:val="baseline"/>
              <w:rPr>
                <w:rFonts w:hint="eastAsia" w:ascii="Calibri" w:hAnsi="Calibri"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eastAsia="zh-CN"/>
              </w:rPr>
              <w:t>2020</w:t>
            </w:r>
            <w:r>
              <w:rPr>
                <w:rFonts w:ascii="Times New Roman" w:hAnsi="Times New Roman" w:eastAsia="宋体" w:cs="Times New Roman"/>
                <w:b/>
                <w:bCs/>
                <w:color w:val="auto"/>
                <w:kern w:val="0"/>
                <w:sz w:val="24"/>
                <w:szCs w:val="24"/>
                <w:highlight w:val="none"/>
              </w:rPr>
              <w:t>年</w:t>
            </w:r>
          </w:p>
        </w:tc>
        <w:tc>
          <w:tcPr>
            <w:tcW w:w="978" w:type="dxa"/>
            <w:gridSpan w:val="2"/>
            <w:noWrap w:val="0"/>
            <w:vAlign w:val="center"/>
          </w:tcPr>
          <w:p>
            <w:pPr>
              <w:widowControl/>
              <w:spacing w:line="240" w:lineRule="auto"/>
              <w:ind w:firstLine="0" w:firstLineChars="0"/>
              <w:jc w:val="center"/>
              <w:textAlignment w:val="baseline"/>
              <w:rPr>
                <w:rFonts w:hint="eastAsia" w:ascii="Calibri" w:hAnsi="Calibri" w:eastAsia="宋体" w:cs="Times New Roman"/>
                <w:b/>
                <w:bCs/>
                <w:color w:val="auto"/>
                <w:kern w:val="0"/>
                <w:sz w:val="24"/>
                <w:szCs w:val="24"/>
                <w:highlight w:val="none"/>
                <w:lang w:val="en-US" w:eastAsia="zh-CN" w:bidi="ar-SA"/>
              </w:rPr>
            </w:pPr>
            <w:r>
              <w:rPr>
                <w:rFonts w:ascii="Times New Roman" w:hAnsi="Times New Roman" w:eastAsia="宋体" w:cs="Times New Roman"/>
                <w:b/>
                <w:bCs/>
                <w:color w:val="auto"/>
                <w:kern w:val="0"/>
                <w:sz w:val="24"/>
                <w:szCs w:val="24"/>
                <w:highlight w:val="none"/>
              </w:rPr>
              <w:t>年均增长</w:t>
            </w:r>
            <w:r>
              <w:rPr>
                <w:rFonts w:hint="eastAsia" w:ascii="Times New Roman" w:hAnsi="Times New Roman" w:eastAsia="宋体" w:cs="Times New Roman"/>
                <w:b/>
                <w:bCs/>
                <w:color w:val="auto"/>
                <w:kern w:val="0"/>
                <w:sz w:val="24"/>
                <w:szCs w:val="24"/>
                <w:highlight w:val="none"/>
                <w:lang w:eastAsia="zh-CN"/>
              </w:rPr>
              <w:t>%</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经济</w:t>
            </w:r>
          </w:p>
          <w:p>
            <w:pPr>
              <w:widowControl/>
              <w:spacing w:line="240" w:lineRule="auto"/>
              <w:ind w:firstLine="0" w:firstLineChars="0"/>
              <w:jc w:val="center"/>
              <w:textAlignment w:val="baseline"/>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发展</w:t>
            </w:r>
          </w:p>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p>
        </w:tc>
        <w:tc>
          <w:tcPr>
            <w:tcW w:w="550" w:type="dxa"/>
            <w:vMerge w:val="restart"/>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w:t>
            </w:r>
          </w:p>
        </w:tc>
        <w:tc>
          <w:tcPr>
            <w:tcW w:w="2932" w:type="dxa"/>
            <w:gridSpan w:val="3"/>
            <w:noWrap w:val="0"/>
            <w:vAlign w:val="center"/>
          </w:tcPr>
          <w:p>
            <w:pPr>
              <w:widowControl/>
              <w:spacing w:line="240" w:lineRule="auto"/>
              <w:ind w:firstLine="0" w:firstLineChars="0"/>
              <w:jc w:val="left"/>
              <w:textAlignment w:val="baseline"/>
              <w:rPr>
                <w:rFonts w:hint="eastAsia" w:ascii="Calibri" w:hAnsi="Calibri" w:eastAsia="宋体" w:cs="Times New Roman"/>
                <w:color w:val="auto"/>
                <w:kern w:val="0"/>
                <w:sz w:val="24"/>
                <w:szCs w:val="24"/>
                <w:highlight w:val="none"/>
                <w:lang w:eastAsia="zh-CN"/>
              </w:rPr>
            </w:pPr>
            <w:r>
              <w:rPr>
                <w:rFonts w:ascii="Times New Roman" w:hAnsi="Times New Roman" w:eastAsia="宋体" w:cs="Times New Roman"/>
                <w:color w:val="auto"/>
                <w:kern w:val="0"/>
                <w:sz w:val="24"/>
                <w:szCs w:val="24"/>
                <w:highlight w:val="none"/>
              </w:rPr>
              <w:t>生产总值（亿元）</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区属</w:t>
            </w:r>
            <w:r>
              <w:rPr>
                <w:rFonts w:hint="eastAsia" w:eastAsia="宋体" w:cs="Times New Roman"/>
                <w:color w:val="auto"/>
                <w:kern w:val="0"/>
                <w:sz w:val="24"/>
                <w:szCs w:val="24"/>
                <w:highlight w:val="none"/>
                <w:lang w:eastAsia="zh-CN"/>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84.5</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126.7</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8.4</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continue"/>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bCs/>
                <w:color w:val="auto"/>
                <w:kern w:val="0"/>
                <w:sz w:val="24"/>
                <w:szCs w:val="24"/>
                <w:highlight w:val="none"/>
              </w:rPr>
            </w:pP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第一产业</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15.3</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20.7</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6.3</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continue"/>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bCs/>
                <w:color w:val="auto"/>
                <w:kern w:val="0"/>
                <w:sz w:val="24"/>
                <w:szCs w:val="24"/>
                <w:highlight w:val="none"/>
              </w:rPr>
            </w:pP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第二产业</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17.9</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20.6</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2.8</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continue"/>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bCs/>
                <w:color w:val="auto"/>
                <w:kern w:val="0"/>
                <w:sz w:val="24"/>
                <w:szCs w:val="24"/>
                <w:highlight w:val="none"/>
              </w:rPr>
            </w:pP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#工业（亿元）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7.1</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9.7</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6.4</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continue"/>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bCs/>
                <w:color w:val="auto"/>
                <w:kern w:val="0"/>
                <w:sz w:val="24"/>
                <w:szCs w:val="24"/>
                <w:highlight w:val="none"/>
              </w:rPr>
            </w:pP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第三产业</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51.3</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85.4</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10.7</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人均生产总值（元）</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区属</w:t>
            </w:r>
            <w:r>
              <w:rPr>
                <w:rFonts w:hint="eastAsia" w:eastAsia="宋体" w:cs="Times New Roman"/>
                <w:color w:val="auto"/>
                <w:kern w:val="0"/>
                <w:sz w:val="24"/>
                <w:szCs w:val="24"/>
                <w:highlight w:val="none"/>
                <w:lang w:eastAsia="zh-CN"/>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24511</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rPr>
              <w:t>36000</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8.0</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3</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三次产业比例（</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w:t>
            </w:r>
          </w:p>
        </w:tc>
        <w:tc>
          <w:tcPr>
            <w:tcW w:w="1095" w:type="dxa"/>
            <w:noWrap w:val="0"/>
            <w:vAlign w:val="center"/>
          </w:tcPr>
          <w:p>
            <w:pPr>
              <w:widowControl/>
              <w:spacing w:line="240" w:lineRule="auto"/>
              <w:ind w:left="-160" w:leftChars="-50" w:right="-160" w:rightChars="-50"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18.1:21.2:60.7</w:t>
            </w:r>
          </w:p>
        </w:tc>
        <w:tc>
          <w:tcPr>
            <w:tcW w:w="123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olor w:val="auto"/>
                <w:kern w:val="0"/>
                <w:sz w:val="24"/>
                <w:szCs w:val="24"/>
                <w:highlight w:val="none"/>
                <w:lang w:eastAsia="zh-CN"/>
              </w:rPr>
              <w:t>16.3</w:t>
            </w:r>
            <w:r>
              <w:rPr>
                <w:rFonts w:eastAsia="宋体"/>
                <w:color w:val="auto"/>
                <w:kern w:val="0"/>
                <w:sz w:val="24"/>
                <w:szCs w:val="24"/>
                <w:highlight w:val="none"/>
              </w:rPr>
              <w:t>:</w:t>
            </w:r>
            <w:r>
              <w:rPr>
                <w:rFonts w:hint="eastAsia" w:ascii="Times New Roman" w:hAnsi="Times New Roman" w:eastAsia="宋体"/>
                <w:color w:val="auto"/>
                <w:kern w:val="0"/>
                <w:sz w:val="24"/>
                <w:szCs w:val="24"/>
                <w:highlight w:val="none"/>
                <w:lang w:eastAsia="zh-CN"/>
              </w:rPr>
              <w:t>16.2</w:t>
            </w:r>
            <w:r>
              <w:rPr>
                <w:rFonts w:eastAsia="宋体"/>
                <w:color w:val="auto"/>
                <w:kern w:val="0"/>
                <w:sz w:val="24"/>
                <w:szCs w:val="24"/>
                <w:highlight w:val="none"/>
              </w:rPr>
              <w:t>:</w:t>
            </w:r>
            <w:r>
              <w:rPr>
                <w:rFonts w:hint="eastAsia" w:ascii="Times New Roman" w:hAnsi="Times New Roman" w:eastAsia="宋体"/>
                <w:color w:val="auto"/>
                <w:kern w:val="0"/>
                <w:sz w:val="24"/>
                <w:szCs w:val="24"/>
                <w:highlight w:val="none"/>
                <w:lang w:eastAsia="zh-CN"/>
              </w:rPr>
              <w:t>67.5</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4</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一般公共预算收入（亿元）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5.57</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5.4</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0.6</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5</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固定资产投资（亿元）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73.6</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rPr>
            </w:pPr>
            <w:r>
              <w:rPr>
                <w:rFonts w:hint="eastAsia"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582</w:t>
            </w:r>
            <w:r>
              <w:rPr>
                <w:rFonts w:hint="eastAsia" w:eastAsia="宋体" w:cs="Times New Roman"/>
                <w:color w:val="auto"/>
                <w:kern w:val="0"/>
                <w:sz w:val="24"/>
                <w:szCs w:val="24"/>
                <w:highlight w:val="none"/>
                <w:lang w:val="en-US" w:eastAsia="zh-CN"/>
              </w:rPr>
              <w:t>]</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12.6</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6</w:t>
            </w:r>
          </w:p>
        </w:tc>
        <w:tc>
          <w:tcPr>
            <w:tcW w:w="2932" w:type="dxa"/>
            <w:gridSpan w:val="3"/>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外贸进出口总额</w:t>
            </w:r>
          </w:p>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（亿</w:t>
            </w:r>
            <w:r>
              <w:rPr>
                <w:rFonts w:hint="eastAsia" w:eastAsia="宋体" w:cs="Times New Roman"/>
                <w:color w:val="auto"/>
                <w:kern w:val="0"/>
                <w:sz w:val="24"/>
                <w:szCs w:val="24"/>
                <w:highlight w:val="none"/>
                <w:lang w:val="en-US" w:eastAsia="zh-CN"/>
              </w:rPr>
              <w:t>美</w:t>
            </w:r>
            <w:r>
              <w:rPr>
                <w:rFonts w:ascii="Times New Roman" w:hAnsi="Times New Roman" w:eastAsia="宋体" w:cs="Times New Roman"/>
                <w:color w:val="auto"/>
                <w:kern w:val="0"/>
                <w:sz w:val="24"/>
                <w:szCs w:val="24"/>
                <w:highlight w:val="none"/>
              </w:rPr>
              <w:t>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0.85</w:t>
            </w:r>
          </w:p>
        </w:tc>
        <w:tc>
          <w:tcPr>
            <w:tcW w:w="123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8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7</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实际利用外资(</w:t>
            </w:r>
            <w:r>
              <w:rPr>
                <w:rFonts w:hint="eastAsia" w:eastAsia="宋体" w:cs="Times New Roman"/>
                <w:color w:val="auto"/>
                <w:kern w:val="0"/>
                <w:sz w:val="24"/>
                <w:szCs w:val="24"/>
                <w:highlight w:val="none"/>
                <w:lang w:val="en-US" w:eastAsia="zh-CN"/>
              </w:rPr>
              <w:t>万</w:t>
            </w:r>
            <w:r>
              <w:rPr>
                <w:rFonts w:ascii="Times New Roman" w:hAnsi="Times New Roman" w:eastAsia="宋体" w:cs="Times New Roman"/>
                <w:color w:val="auto"/>
                <w:kern w:val="0"/>
                <w:sz w:val="24"/>
                <w:szCs w:val="24"/>
                <w:highlight w:val="none"/>
              </w:rPr>
              <w:t>美元)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134</w:t>
            </w:r>
          </w:p>
        </w:tc>
        <w:tc>
          <w:tcPr>
            <w:tcW w:w="123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8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8</w:t>
            </w:r>
          </w:p>
        </w:tc>
        <w:tc>
          <w:tcPr>
            <w:tcW w:w="2932" w:type="dxa"/>
            <w:gridSpan w:val="3"/>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社会消费品零售总额</w:t>
            </w:r>
          </w:p>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（亿元）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33.2</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rPr>
              <w:t>39.3</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3.4</w:t>
            </w:r>
          </w:p>
        </w:tc>
        <w:tc>
          <w:tcPr>
            <w:tcW w:w="954" w:type="dxa"/>
            <w:gridSpan w:val="2"/>
            <w:noWrap w:val="0"/>
            <w:vAlign w:val="top"/>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9</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居民消费价格指数（</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1.3</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2.1</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10</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城镇化率（</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39.6</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11</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每万人发明专利拥有量（件）</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0.3</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1.86</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44</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社会</w:t>
            </w:r>
          </w:p>
          <w:p>
            <w:pPr>
              <w:widowControl/>
              <w:spacing w:line="240" w:lineRule="auto"/>
              <w:ind w:firstLine="0" w:firstLineChars="0"/>
              <w:jc w:val="center"/>
              <w:textAlignment w:val="baseline"/>
              <w:rPr>
                <w:rFonts w:ascii="Calibri" w:hAnsi="Calibri"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民生</w:t>
            </w: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12</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人口自然增长率（‰）</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8.62</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11.52</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13</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城镇登记失业率（</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2.22</w:t>
            </w:r>
          </w:p>
        </w:tc>
        <w:tc>
          <w:tcPr>
            <w:tcW w:w="980" w:type="dxa"/>
            <w:gridSpan w:val="2"/>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14</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城镇新增就业人数（人）</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3016</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4833</w:t>
            </w:r>
          </w:p>
        </w:tc>
        <w:tc>
          <w:tcPr>
            <w:tcW w:w="980" w:type="dxa"/>
            <w:gridSpan w:val="2"/>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9.9</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15</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spacing w:val="-11"/>
                <w:kern w:val="0"/>
                <w:sz w:val="24"/>
                <w:szCs w:val="24"/>
                <w:highlight w:val="none"/>
              </w:rPr>
              <w:t>高中阶段教育毛入学率（</w:t>
            </w:r>
            <w:r>
              <w:rPr>
                <w:rFonts w:hint="eastAsia" w:ascii="Times New Roman" w:hAnsi="Times New Roman" w:eastAsia="宋体" w:cs="Times New Roman"/>
                <w:color w:val="auto"/>
                <w:spacing w:val="-11"/>
                <w:kern w:val="0"/>
                <w:sz w:val="24"/>
                <w:szCs w:val="24"/>
                <w:highlight w:val="none"/>
                <w:lang w:eastAsia="zh-CN"/>
              </w:rPr>
              <w:t>%</w:t>
            </w:r>
            <w:r>
              <w:rPr>
                <w:rFonts w:ascii="Times New Roman" w:hAnsi="Times New Roman" w:eastAsia="宋体" w:cs="Times New Roman"/>
                <w:color w:val="auto"/>
                <w:spacing w:val="-11"/>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90.6</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99.6</w:t>
            </w:r>
          </w:p>
        </w:tc>
        <w:tc>
          <w:tcPr>
            <w:tcW w:w="980" w:type="dxa"/>
            <w:gridSpan w:val="2"/>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1.9</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16</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城乡居民基本养老保险参保人数（万人）</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12.4</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18.6</w:t>
            </w:r>
          </w:p>
        </w:tc>
        <w:tc>
          <w:tcPr>
            <w:tcW w:w="980" w:type="dxa"/>
            <w:gridSpan w:val="2"/>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1.06</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17</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spacing w:val="-11"/>
                <w:kern w:val="0"/>
                <w:sz w:val="24"/>
                <w:szCs w:val="24"/>
                <w:highlight w:val="none"/>
              </w:rPr>
            </w:pPr>
            <w:r>
              <w:rPr>
                <w:rFonts w:ascii="Times New Roman" w:hAnsi="Times New Roman" w:eastAsia="宋体" w:cs="Times New Roman"/>
                <w:color w:val="auto"/>
                <w:kern w:val="0"/>
                <w:sz w:val="24"/>
                <w:szCs w:val="24"/>
                <w:highlight w:val="none"/>
              </w:rPr>
              <w:t>城乡基本医疗保险参保</w:t>
            </w:r>
            <w:r>
              <w:rPr>
                <w:rFonts w:hint="eastAsia" w:eastAsia="宋体" w:cs="Times New Roman"/>
                <w:color w:val="auto"/>
                <w:kern w:val="0"/>
                <w:sz w:val="24"/>
                <w:szCs w:val="24"/>
                <w:highlight w:val="none"/>
                <w:lang w:eastAsia="zh-CN"/>
              </w:rPr>
              <w:t>人数</w:t>
            </w:r>
            <w:r>
              <w:rPr>
                <w:rFonts w:ascii="Times New Roman" w:hAnsi="Times New Roman" w:eastAsia="宋体" w:cs="Times New Roman"/>
                <w:color w:val="auto"/>
                <w:kern w:val="0"/>
                <w:sz w:val="24"/>
                <w:szCs w:val="24"/>
                <w:highlight w:val="none"/>
              </w:rPr>
              <w:t>（</w:t>
            </w:r>
            <w:r>
              <w:rPr>
                <w:rFonts w:hint="eastAsia" w:eastAsia="宋体" w:cs="Times New Roman"/>
                <w:color w:val="auto"/>
                <w:kern w:val="0"/>
                <w:sz w:val="24"/>
                <w:szCs w:val="24"/>
                <w:highlight w:val="none"/>
                <w:lang w:eastAsia="zh-CN"/>
              </w:rPr>
              <w:t>万人</w:t>
            </w:r>
            <w:r>
              <w:rPr>
                <w:rFonts w:ascii="Times New Roman" w:hAnsi="Times New Roman" w:eastAsia="宋体" w:cs="Times New Roman"/>
                <w:color w:val="auto"/>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25.97</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34.24</w:t>
            </w:r>
          </w:p>
        </w:tc>
        <w:tc>
          <w:tcPr>
            <w:tcW w:w="980" w:type="dxa"/>
            <w:gridSpan w:val="2"/>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5.7</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18</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居民人均可支配收入（元）</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18152</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25574</w:t>
            </w:r>
          </w:p>
        </w:tc>
        <w:tc>
          <w:tcPr>
            <w:tcW w:w="980" w:type="dxa"/>
            <w:gridSpan w:val="2"/>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7.1</w:t>
            </w: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restart"/>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19</w:t>
            </w:r>
          </w:p>
        </w:tc>
        <w:tc>
          <w:tcPr>
            <w:tcW w:w="1168" w:type="dxa"/>
            <w:gridSpan w:val="2"/>
            <w:vMerge w:val="restart"/>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能源消费控制</w:t>
            </w:r>
          </w:p>
        </w:tc>
        <w:tc>
          <w:tcPr>
            <w:tcW w:w="1764" w:type="dxa"/>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能源消费总量（万吨标煤）</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85.58</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rPr>
            </w:pPr>
          </w:p>
        </w:tc>
        <w:tc>
          <w:tcPr>
            <w:tcW w:w="98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continue"/>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rPr>
            </w:pPr>
          </w:p>
        </w:tc>
        <w:tc>
          <w:tcPr>
            <w:tcW w:w="1168" w:type="dxa"/>
            <w:gridSpan w:val="2"/>
            <w:vMerge w:val="continue"/>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p>
        </w:tc>
        <w:tc>
          <w:tcPr>
            <w:tcW w:w="1764" w:type="dxa"/>
            <w:noWrap w:val="0"/>
            <w:vAlign w:val="center"/>
          </w:tcPr>
          <w:p>
            <w:pPr>
              <w:widowControl/>
              <w:spacing w:line="240" w:lineRule="auto"/>
              <w:ind w:firstLine="0" w:firstLineChars="0"/>
              <w:jc w:val="left"/>
              <w:textAlignment w:val="baseline"/>
              <w:rPr>
                <w:rFonts w:ascii="Calibri" w:hAnsi="Calibri" w:eastAsia="宋体" w:cs="Times New Roman"/>
                <w:color w:val="auto"/>
                <w:spacing w:val="-17"/>
                <w:kern w:val="0"/>
                <w:sz w:val="24"/>
                <w:szCs w:val="24"/>
                <w:highlight w:val="none"/>
              </w:rPr>
            </w:pPr>
            <w:r>
              <w:rPr>
                <w:rFonts w:ascii="Times New Roman" w:hAnsi="Times New Roman" w:eastAsia="宋体" w:cs="Times New Roman"/>
                <w:color w:val="auto"/>
                <w:spacing w:val="-17"/>
                <w:kern w:val="0"/>
                <w:sz w:val="24"/>
                <w:szCs w:val="24"/>
                <w:highlight w:val="none"/>
              </w:rPr>
              <w:t>单位生产总值能源消耗降低（</w:t>
            </w:r>
            <w:r>
              <w:rPr>
                <w:rFonts w:hint="eastAsia" w:ascii="Times New Roman" w:hAnsi="Times New Roman" w:eastAsia="宋体" w:cs="Times New Roman"/>
                <w:color w:val="auto"/>
                <w:spacing w:val="-17"/>
                <w:kern w:val="0"/>
                <w:sz w:val="24"/>
                <w:szCs w:val="24"/>
                <w:highlight w:val="none"/>
                <w:lang w:eastAsia="zh-CN"/>
              </w:rPr>
              <w:t>%</w:t>
            </w:r>
            <w:r>
              <w:rPr>
                <w:rFonts w:ascii="Times New Roman" w:hAnsi="Times New Roman" w:eastAsia="宋体" w:cs="Times New Roman"/>
                <w:color w:val="auto"/>
                <w:spacing w:val="-17"/>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3.58</w:t>
            </w: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rPr>
            </w:pPr>
          </w:p>
        </w:tc>
        <w:tc>
          <w:tcPr>
            <w:tcW w:w="98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20</w:t>
            </w:r>
          </w:p>
        </w:tc>
        <w:tc>
          <w:tcPr>
            <w:tcW w:w="2932" w:type="dxa"/>
            <w:gridSpan w:val="3"/>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PM</w:t>
            </w:r>
            <w:r>
              <w:rPr>
                <w:rFonts w:hint="eastAsia" w:ascii="Times New Roman" w:hAnsi="Times New Roman" w:eastAsia="宋体" w:cs="Times New Roman"/>
                <w:color w:val="auto"/>
                <w:kern w:val="0"/>
                <w:sz w:val="24"/>
                <w:szCs w:val="24"/>
                <w:highlight w:val="none"/>
                <w:vertAlign w:val="subscript"/>
                <w:lang w:eastAsia="zh-CN"/>
              </w:rPr>
              <w:t>2.5</w:t>
            </w:r>
            <w:r>
              <w:rPr>
                <w:rFonts w:ascii="Times New Roman" w:hAnsi="Times New Roman" w:eastAsia="宋体" w:cs="Times New Roman"/>
                <w:color w:val="auto"/>
                <w:kern w:val="0"/>
                <w:sz w:val="24"/>
                <w:szCs w:val="24"/>
                <w:highlight w:val="none"/>
              </w:rPr>
              <w:t>浓度（微克/立方米）</w:t>
            </w:r>
          </w:p>
        </w:tc>
        <w:tc>
          <w:tcPr>
            <w:tcW w:w="1095"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123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22</w:t>
            </w:r>
          </w:p>
        </w:tc>
        <w:tc>
          <w:tcPr>
            <w:tcW w:w="98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val="en-US" w:eastAsia="zh-CN"/>
              </w:rPr>
            </w:pPr>
          </w:p>
        </w:tc>
        <w:tc>
          <w:tcPr>
            <w:tcW w:w="954" w:type="dxa"/>
            <w:gridSpan w:val="2"/>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restart"/>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21</w:t>
            </w:r>
          </w:p>
        </w:tc>
        <w:tc>
          <w:tcPr>
            <w:tcW w:w="1149"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森林</w:t>
            </w:r>
          </w:p>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增长</w:t>
            </w:r>
          </w:p>
        </w:tc>
        <w:tc>
          <w:tcPr>
            <w:tcW w:w="1783" w:type="dxa"/>
            <w:gridSpan w:val="2"/>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森林覆盖率（</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26.62</w:t>
            </w:r>
          </w:p>
        </w:tc>
        <w:tc>
          <w:tcPr>
            <w:tcW w:w="123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14.71</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vMerge w:val="restart"/>
            <w:noWrap w:val="0"/>
            <w:vAlign w:val="center"/>
          </w:tcPr>
          <w:p>
            <w:pPr>
              <w:widowControl/>
              <w:spacing w:line="240" w:lineRule="auto"/>
              <w:ind w:firstLine="0" w:firstLineChars="0"/>
              <w:jc w:val="center"/>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Merge w:val="continue"/>
            <w:noWrap w:val="0"/>
            <w:vAlign w:val="center"/>
          </w:tcPr>
          <w:p>
            <w:pPr>
              <w:widowControl/>
              <w:spacing w:line="240" w:lineRule="auto"/>
              <w:ind w:firstLine="0" w:firstLineChars="0"/>
              <w:jc w:val="left"/>
              <w:textAlignment w:val="baseline"/>
              <w:rPr>
                <w:rFonts w:ascii="Calibri" w:hAnsi="Calibri" w:eastAsia="宋体" w:cs="Times New Roman"/>
                <w:b/>
                <w:bCs/>
                <w:color w:val="auto"/>
                <w:kern w:val="0"/>
                <w:sz w:val="24"/>
                <w:szCs w:val="24"/>
                <w:highlight w:val="none"/>
              </w:rPr>
            </w:pPr>
          </w:p>
        </w:tc>
        <w:tc>
          <w:tcPr>
            <w:tcW w:w="550" w:type="dxa"/>
            <w:vMerge w:val="continue"/>
            <w:noWrap w:val="0"/>
            <w:vAlign w:val="center"/>
          </w:tcPr>
          <w:p>
            <w:pPr>
              <w:widowControl/>
              <w:spacing w:line="240" w:lineRule="auto"/>
              <w:ind w:firstLine="0" w:firstLineChars="0"/>
              <w:jc w:val="center"/>
              <w:textAlignment w:val="baseline"/>
              <w:rPr>
                <w:rFonts w:hint="default" w:ascii="Times New Roman" w:hAnsi="Times New Roman" w:eastAsia="宋体" w:cs="Times New Roman"/>
                <w:b w:val="0"/>
                <w:bCs w:val="0"/>
                <w:color w:val="auto"/>
                <w:kern w:val="0"/>
                <w:sz w:val="24"/>
                <w:szCs w:val="24"/>
                <w:highlight w:val="none"/>
              </w:rPr>
            </w:pPr>
          </w:p>
        </w:tc>
        <w:tc>
          <w:tcPr>
            <w:tcW w:w="1149" w:type="dxa"/>
            <w:vMerge w:val="continue"/>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p>
        </w:tc>
        <w:tc>
          <w:tcPr>
            <w:tcW w:w="1783" w:type="dxa"/>
            <w:gridSpan w:val="2"/>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森林蓄积量（万立方米）</w:t>
            </w:r>
          </w:p>
        </w:tc>
        <w:tc>
          <w:tcPr>
            <w:tcW w:w="109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45.22</w:t>
            </w:r>
          </w:p>
        </w:tc>
        <w:tc>
          <w:tcPr>
            <w:tcW w:w="1230" w:type="dxa"/>
            <w:gridSpan w:val="2"/>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36.24</w:t>
            </w:r>
          </w:p>
        </w:tc>
        <w:tc>
          <w:tcPr>
            <w:tcW w:w="980" w:type="dxa"/>
            <w:gridSpan w:val="2"/>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0"/>
                <w:sz w:val="24"/>
                <w:szCs w:val="24"/>
                <w:highlight w:val="none"/>
                <w:lang w:val="en-US" w:eastAsia="zh-CN"/>
              </w:rPr>
            </w:pPr>
          </w:p>
        </w:tc>
        <w:tc>
          <w:tcPr>
            <w:tcW w:w="954" w:type="dxa"/>
            <w:gridSpan w:val="2"/>
            <w:vMerge w:val="continue"/>
            <w:noWrap w:val="0"/>
            <w:vAlign w:val="center"/>
          </w:tcPr>
          <w:p>
            <w:pPr>
              <w:widowControl/>
              <w:spacing w:line="240" w:lineRule="auto"/>
              <w:ind w:firstLine="0" w:firstLineChars="0"/>
              <w:jc w:val="left"/>
              <w:textAlignment w:val="baseline"/>
              <w:rPr>
                <w:rFonts w:ascii="Calibri" w:hAnsi="Calibri" w:eastAsia="宋体" w:cs="Times New Roman"/>
                <w:color w:val="auto"/>
                <w:kern w:val="0"/>
                <w:sz w:val="24"/>
                <w:szCs w:val="24"/>
                <w:highlight w:val="none"/>
              </w:rPr>
            </w:pPr>
          </w:p>
        </w:tc>
      </w:tr>
    </w:tbl>
    <w:p>
      <w:pPr>
        <w:widowControl/>
        <w:spacing w:line="240" w:lineRule="auto"/>
        <w:ind w:firstLine="0" w:firstLineChars="0"/>
        <w:textAlignment w:val="baseline"/>
        <w:rPr>
          <w:rFonts w:ascii="Times New Roman" w:hAnsi="Times New Roman" w:eastAsia="宋体" w:cs="Times New Roman"/>
          <w:color w:val="auto"/>
          <w:kern w:val="0"/>
          <w:sz w:val="21"/>
          <w:szCs w:val="21"/>
          <w:highlight w:val="none"/>
        </w:rPr>
      </w:pPr>
    </w:p>
    <w:p>
      <w:pPr>
        <w:widowControl/>
        <w:spacing w:line="240" w:lineRule="auto"/>
        <w:ind w:firstLine="0" w:firstLineChars="0"/>
        <w:jc w:val="left"/>
        <w:textAlignment w:val="baseline"/>
        <w:rPr>
          <w:rFonts w:ascii="Times New Roman" w:hAnsi="Times New Roman" w:eastAsia="宋体" w:cs="Times New Roman"/>
          <w:color w:val="auto"/>
          <w:kern w:val="0"/>
          <w:sz w:val="24"/>
          <w:szCs w:val="16"/>
          <w:highlight w:val="none"/>
        </w:rPr>
      </w:pPr>
      <w:r>
        <w:rPr>
          <w:rFonts w:ascii="Times New Roman" w:hAnsi="Times New Roman" w:eastAsia="宋体" w:cs="Times New Roman"/>
          <w:color w:val="auto"/>
          <w:kern w:val="0"/>
          <w:sz w:val="24"/>
          <w:szCs w:val="16"/>
          <w:highlight w:val="none"/>
        </w:rPr>
        <w:t>注：</w:t>
      </w:r>
      <w:r>
        <w:rPr>
          <w:rFonts w:hint="eastAsia" w:ascii="Times New Roman" w:hAnsi="Times New Roman" w:eastAsia="宋体" w:cs="Times New Roman"/>
          <w:color w:val="auto"/>
          <w:kern w:val="0"/>
          <w:sz w:val="24"/>
          <w:szCs w:val="16"/>
          <w:highlight w:val="none"/>
          <w:lang w:eastAsia="zh-CN"/>
        </w:rPr>
        <w:t>1.</w:t>
      </w:r>
      <w:r>
        <w:rPr>
          <w:rFonts w:ascii="Times New Roman" w:hAnsi="Times New Roman" w:eastAsia="宋体" w:cs="Times New Roman"/>
          <w:color w:val="auto"/>
          <w:kern w:val="0"/>
          <w:sz w:val="24"/>
          <w:szCs w:val="16"/>
          <w:highlight w:val="none"/>
        </w:rPr>
        <w:t>增加值绝对数按现行价计算，增长速度按可比价计算。</w:t>
      </w:r>
    </w:p>
    <w:p>
      <w:pPr>
        <w:widowControl/>
        <w:numPr>
          <w:ilvl w:val="0"/>
          <w:numId w:val="0"/>
        </w:numPr>
        <w:spacing w:line="240" w:lineRule="auto"/>
        <w:ind w:firstLine="480" w:firstLineChars="200"/>
        <w:jc w:val="left"/>
        <w:textAlignment w:val="baseline"/>
        <w:rPr>
          <w:rFonts w:ascii="Times New Roman" w:hAnsi="Times New Roman" w:eastAsia="宋体" w:cs="Times New Roman"/>
          <w:color w:val="auto"/>
          <w:kern w:val="0"/>
          <w:sz w:val="24"/>
          <w:szCs w:val="16"/>
          <w:highlight w:val="none"/>
        </w:rPr>
      </w:pPr>
      <w:r>
        <w:rPr>
          <w:rFonts w:hint="eastAsia" w:ascii="Times New Roman" w:hAnsi="Times New Roman" w:cs="Times New Roman"/>
          <w:color w:val="auto"/>
          <w:kern w:val="0"/>
          <w:sz w:val="24"/>
          <w:szCs w:val="16"/>
          <w:highlight w:val="none"/>
          <w:lang w:val="en-US" w:eastAsia="zh-CN"/>
        </w:rPr>
        <w:t>2.</w:t>
      </w:r>
      <w:r>
        <w:rPr>
          <w:rFonts w:hint="eastAsia" w:ascii="仿宋" w:hAnsi="仿宋" w:eastAsia="仿宋" w:cs="仿宋"/>
          <w:color w:val="auto"/>
          <w:kern w:val="0"/>
          <w:sz w:val="24"/>
          <w:szCs w:val="16"/>
          <w:highlight w:val="none"/>
        </w:rPr>
        <w:t>“</w:t>
      </w:r>
      <w:r>
        <w:rPr>
          <w:rFonts w:ascii="Times New Roman" w:hAnsi="Times New Roman" w:eastAsia="宋体" w:cs="Times New Roman"/>
          <w:color w:val="auto"/>
          <w:kern w:val="0"/>
          <w:sz w:val="24"/>
          <w:szCs w:val="16"/>
          <w:highlight w:val="none"/>
        </w:rPr>
        <w:t>[</w:t>
      </w:r>
      <w:r>
        <w:rPr>
          <w:rFonts w:hint="eastAsia" w:ascii="Times New Roman" w:hAnsi="Times New Roman" w:eastAsia="宋体" w:cs="Times New Roman"/>
          <w:color w:val="auto"/>
          <w:kern w:val="0"/>
          <w:sz w:val="24"/>
          <w:szCs w:val="16"/>
          <w:highlight w:val="none"/>
          <w:lang w:val="en-US" w:eastAsia="zh-CN"/>
        </w:rPr>
        <w:t xml:space="preserve"> </w:t>
      </w:r>
      <w:r>
        <w:rPr>
          <w:rFonts w:ascii="Times New Roman" w:hAnsi="Times New Roman" w:eastAsia="宋体" w:cs="Times New Roman"/>
          <w:color w:val="auto"/>
          <w:kern w:val="0"/>
          <w:sz w:val="24"/>
          <w:szCs w:val="16"/>
          <w:highlight w:val="none"/>
        </w:rPr>
        <w:t>]</w:t>
      </w:r>
      <w:r>
        <w:rPr>
          <w:rFonts w:hint="eastAsia" w:ascii="仿宋" w:hAnsi="仿宋" w:eastAsia="仿宋" w:cs="仿宋"/>
          <w:color w:val="auto"/>
          <w:kern w:val="0"/>
          <w:sz w:val="24"/>
          <w:szCs w:val="16"/>
          <w:highlight w:val="none"/>
        </w:rPr>
        <w:t>”</w:t>
      </w:r>
      <w:r>
        <w:rPr>
          <w:rFonts w:ascii="Times New Roman" w:hAnsi="Times New Roman" w:eastAsia="宋体" w:cs="Times New Roman"/>
          <w:color w:val="auto"/>
          <w:kern w:val="0"/>
          <w:sz w:val="24"/>
          <w:szCs w:val="16"/>
          <w:highlight w:val="none"/>
        </w:rPr>
        <w:t>号的数为五年累计数。</w:t>
      </w:r>
    </w:p>
    <w:p>
      <w:pPr>
        <w:pStyle w:val="2"/>
        <w:ind w:left="0" w:leftChars="0" w:firstLine="480" w:firstLineChars="200"/>
        <w:jc w:val="left"/>
        <w:rPr>
          <w:color w:val="auto"/>
          <w:highlight w:val="none"/>
        </w:rPr>
      </w:pPr>
      <w:r>
        <w:rPr>
          <w:rFonts w:hint="eastAsia" w:ascii="Times New Roman" w:hAnsi="Times New Roman" w:cs="Times New Roman"/>
          <w:color w:val="auto"/>
          <w:kern w:val="0"/>
          <w:sz w:val="24"/>
          <w:szCs w:val="16"/>
          <w:highlight w:val="none"/>
          <w:lang w:val="en-US" w:eastAsia="zh-CN"/>
        </w:rPr>
        <w:t>3.因经普数据调整，生产总值等相关指标作相应调整。</w:t>
      </w:r>
    </w:p>
    <w:p>
      <w:pPr>
        <w:pStyle w:val="4"/>
        <w:spacing w:before="62" w:after="62"/>
        <w:ind w:firstLine="0"/>
        <w:jc w:val="center"/>
        <w:rPr>
          <w:rFonts w:hint="default" w:ascii="宋体" w:hAnsi="宋体"/>
          <w:color w:val="auto"/>
          <w:highlight w:val="none"/>
        </w:rPr>
      </w:pPr>
      <w:bookmarkStart w:id="23" w:name="_Toc5983"/>
      <w:r>
        <w:rPr>
          <w:rFonts w:hint="default" w:ascii="宋体" w:hAnsi="宋体"/>
          <w:color w:val="auto"/>
          <w:highlight w:val="none"/>
        </w:rPr>
        <w:t>第二节 面临环境</w:t>
      </w:r>
      <w:bookmarkEnd w:id="17"/>
      <w:bookmarkEnd w:id="18"/>
      <w:bookmarkEnd w:id="19"/>
      <w:bookmarkEnd w:id="20"/>
      <w:bookmarkEnd w:id="21"/>
      <w:bookmarkEnd w:id="22"/>
      <w:bookmarkEnd w:id="23"/>
    </w:p>
    <w:p>
      <w:pPr>
        <w:bidi w:val="0"/>
        <w:rPr>
          <w:rFonts w:hint="eastAsia"/>
          <w:color w:val="auto"/>
          <w:highlight w:val="none"/>
          <w:lang w:val="en-US" w:eastAsia="zh-CN"/>
        </w:rPr>
      </w:pPr>
      <w:bookmarkStart w:id="24" w:name="_Toc11740"/>
      <w:bookmarkStart w:id="25" w:name="_Toc24528"/>
      <w:r>
        <w:rPr>
          <w:rFonts w:hint="eastAsia"/>
          <w:color w:val="auto"/>
          <w:highlight w:val="none"/>
          <w:lang w:val="en-US" w:eastAsia="zh-CN"/>
        </w:rPr>
        <w:t>“</w:t>
      </w:r>
      <w:r>
        <w:rPr>
          <w:color w:val="auto"/>
          <w:highlight w:val="none"/>
          <w:lang w:val="en-US" w:eastAsia="zh-CN"/>
        </w:rPr>
        <w:t>十</w:t>
      </w:r>
      <w:r>
        <w:rPr>
          <w:rFonts w:hint="eastAsia"/>
          <w:color w:val="auto"/>
          <w:highlight w:val="none"/>
          <w:lang w:val="en-US" w:eastAsia="zh-CN"/>
        </w:rPr>
        <w:t>四</w:t>
      </w:r>
      <w:r>
        <w:rPr>
          <w:color w:val="auto"/>
          <w:highlight w:val="none"/>
          <w:lang w:val="en-US" w:eastAsia="zh-CN"/>
        </w:rPr>
        <w:t>五</w:t>
      </w:r>
      <w:r>
        <w:rPr>
          <w:rFonts w:hint="eastAsia"/>
          <w:color w:val="auto"/>
          <w:highlight w:val="none"/>
          <w:lang w:val="en-US" w:eastAsia="zh-CN"/>
        </w:rPr>
        <w:t>”时期，坡头发展仍然处于重要战略机遇期，但机遇和挑战都有新的发展变化，机遇更具战略性，挑战更具复杂性、全局性。</w:t>
      </w:r>
    </w:p>
    <w:p>
      <w:pPr>
        <w:bidi w:val="0"/>
        <w:rPr>
          <w:rFonts w:hint="default" w:eastAsia="仿宋"/>
          <w:color w:val="auto"/>
          <w:highlight w:val="none"/>
          <w:lang w:val="en-US" w:eastAsia="zh-CN"/>
        </w:rPr>
      </w:pPr>
      <w:r>
        <w:rPr>
          <w:rFonts w:hint="eastAsia"/>
          <w:b/>
          <w:bCs/>
          <w:color w:val="auto"/>
          <w:highlight w:val="none"/>
          <w:lang w:val="en-US" w:eastAsia="zh-CN"/>
        </w:rPr>
        <w:t>从</w:t>
      </w:r>
      <w:r>
        <w:rPr>
          <w:b/>
          <w:bCs/>
          <w:color w:val="auto"/>
          <w:highlight w:val="none"/>
        </w:rPr>
        <w:t>国际形势</w:t>
      </w:r>
      <w:bookmarkEnd w:id="24"/>
      <w:bookmarkEnd w:id="25"/>
      <w:r>
        <w:rPr>
          <w:rFonts w:hint="eastAsia"/>
          <w:b/>
          <w:bCs/>
          <w:color w:val="auto"/>
          <w:highlight w:val="none"/>
          <w:lang w:val="en-US" w:eastAsia="zh-CN"/>
        </w:rPr>
        <w:t>看，</w:t>
      </w:r>
      <w:r>
        <w:rPr>
          <w:rFonts w:hint="eastAsia" w:ascii="仿宋" w:hAnsi="仿宋" w:eastAsia="仿宋" w:cs="仿宋"/>
          <w:color w:val="auto"/>
          <w:sz w:val="32"/>
          <w:szCs w:val="32"/>
          <w:highlight w:val="none"/>
        </w:rPr>
        <w:t>当今世界正经历百年未有之大变局，</w:t>
      </w:r>
      <w:r>
        <w:rPr>
          <w:rFonts w:hint="eastAsia" w:ascii="仿宋" w:hAnsi="仿宋" w:cs="仿宋"/>
          <w:color w:val="auto"/>
          <w:sz w:val="32"/>
          <w:szCs w:val="32"/>
          <w:highlight w:val="none"/>
          <w:lang w:val="en-US" w:eastAsia="zh-CN"/>
        </w:rPr>
        <w:t>国际力量对比正在深刻调整，世界进入竞争优势重塑、国际经贸规则重建的动荡变革期，</w:t>
      </w:r>
      <w:r>
        <w:rPr>
          <w:color w:val="auto"/>
          <w:highlight w:val="none"/>
        </w:rPr>
        <w:t>逆全球化倾向将会继续导致国际政治外交关系紧张，</w:t>
      </w:r>
      <w:r>
        <w:rPr>
          <w:rFonts w:hint="eastAsia"/>
          <w:color w:val="auto"/>
          <w:highlight w:val="none"/>
          <w:lang w:val="en-US" w:eastAsia="zh-CN"/>
        </w:rPr>
        <w:t>外部环境日趋复杂。</w:t>
      </w:r>
      <w:r>
        <w:rPr>
          <w:color w:val="auto"/>
          <w:highlight w:val="none"/>
        </w:rPr>
        <w:t>新冠疫情</w:t>
      </w:r>
      <w:r>
        <w:rPr>
          <w:rFonts w:hint="eastAsia"/>
          <w:color w:val="auto"/>
          <w:highlight w:val="none"/>
          <w:lang w:val="en-US" w:eastAsia="zh-CN"/>
        </w:rPr>
        <w:t>全球大流行加剧了时局变化，全球产业链、供应链面临冲击，保护主义、民粹主义抬头，国际政治、经济、科技等格局面临重构，全球经济二次衰退风险加剧。</w:t>
      </w:r>
    </w:p>
    <w:p>
      <w:pPr>
        <w:bidi w:val="0"/>
        <w:rPr>
          <w:color w:val="auto"/>
          <w:highlight w:val="none"/>
        </w:rPr>
      </w:pPr>
      <w:bookmarkStart w:id="26" w:name="_Toc41643600"/>
      <w:bookmarkStart w:id="27" w:name="_Toc32266"/>
      <w:bookmarkStart w:id="28" w:name="_Toc18351"/>
      <w:r>
        <w:rPr>
          <w:rFonts w:hint="eastAsia"/>
          <w:b/>
          <w:bCs/>
          <w:color w:val="auto"/>
          <w:highlight w:val="none"/>
          <w:lang w:val="en-US" w:eastAsia="zh-CN"/>
        </w:rPr>
        <w:t>从</w:t>
      </w:r>
      <w:r>
        <w:rPr>
          <w:b/>
          <w:bCs/>
          <w:color w:val="auto"/>
          <w:highlight w:val="none"/>
        </w:rPr>
        <w:t>国内形势</w:t>
      </w:r>
      <w:bookmarkEnd w:id="26"/>
      <w:bookmarkEnd w:id="27"/>
      <w:bookmarkEnd w:id="28"/>
      <w:r>
        <w:rPr>
          <w:rFonts w:hint="eastAsia"/>
          <w:b/>
          <w:bCs/>
          <w:color w:val="auto"/>
          <w:highlight w:val="none"/>
          <w:lang w:val="en-US" w:eastAsia="zh-CN"/>
        </w:rPr>
        <w:t>看，</w:t>
      </w:r>
      <w:r>
        <w:rPr>
          <w:rFonts w:hint="eastAsia"/>
          <w:color w:val="auto"/>
          <w:highlight w:val="none"/>
        </w:rPr>
        <w:t>“</w:t>
      </w:r>
      <w:r>
        <w:rPr>
          <w:color w:val="auto"/>
          <w:highlight w:val="none"/>
        </w:rPr>
        <w:t>十三五</w:t>
      </w:r>
      <w:r>
        <w:rPr>
          <w:rFonts w:hint="eastAsia"/>
          <w:color w:val="auto"/>
          <w:highlight w:val="none"/>
        </w:rPr>
        <w:t>”</w:t>
      </w:r>
      <w:r>
        <w:rPr>
          <w:color w:val="auto"/>
          <w:highlight w:val="none"/>
        </w:rPr>
        <w:t>以来，面对国内外风险挑战明显上升的复杂局面，在以习近平同志为核心的党中央坚强领导下，全党全国贯彻党中央决策部署，坚持稳中求进工作总基调，坚持以供给侧结构性改革为主线，贯彻新发展理念，推动高质量发展，保持经济社会持续健康发展。我国正处在转变发展方式、优化经济结构、转换增长动力的攻关期，进入以国内大循环为主体的国内国外双循环新阶段。中国拥有良好的基础设施和经济发展基础，信息化和人工智能</w:t>
      </w:r>
      <w:r>
        <w:rPr>
          <w:rFonts w:hint="eastAsia"/>
          <w:color w:val="auto"/>
          <w:highlight w:val="none"/>
          <w:lang w:val="en-US" w:eastAsia="zh-CN"/>
        </w:rPr>
        <w:t>有后发优势</w:t>
      </w:r>
      <w:r>
        <w:rPr>
          <w:color w:val="auto"/>
          <w:highlight w:val="none"/>
        </w:rPr>
        <w:t>，多年来重视教育、注重技术人才培养，科技型劳动力红利显现。中国巨大的国内市场，对推动双循环、抵御和应对国际经济冲击具有</w:t>
      </w:r>
      <w:r>
        <w:rPr>
          <w:rFonts w:hint="eastAsia"/>
          <w:color w:val="auto"/>
          <w:highlight w:val="none"/>
          <w:lang w:val="en-US" w:eastAsia="zh-CN"/>
        </w:rPr>
        <w:t>强</w:t>
      </w:r>
      <w:r>
        <w:rPr>
          <w:color w:val="auto"/>
          <w:highlight w:val="none"/>
        </w:rPr>
        <w:t>大</w:t>
      </w:r>
      <w:r>
        <w:rPr>
          <w:rFonts w:hint="eastAsia"/>
          <w:color w:val="auto"/>
          <w:highlight w:val="none"/>
          <w:lang w:val="en-US" w:eastAsia="zh-CN"/>
        </w:rPr>
        <w:t>的</w:t>
      </w:r>
      <w:r>
        <w:rPr>
          <w:color w:val="auto"/>
          <w:highlight w:val="none"/>
        </w:rPr>
        <w:t>优势。</w:t>
      </w:r>
    </w:p>
    <w:p>
      <w:pPr>
        <w:pStyle w:val="2"/>
        <w:rPr>
          <w:rFonts w:hint="eastAsia" w:ascii="Times New Roman" w:hAnsi="Times New Roman" w:eastAsia="仿宋" w:cs="Times New Roman"/>
          <w:color w:val="auto"/>
          <w:kern w:val="2"/>
          <w:sz w:val="32"/>
          <w:szCs w:val="22"/>
          <w:highlight w:val="none"/>
          <w:lang w:val="en-US" w:eastAsia="zh-CN" w:bidi="ar-SA"/>
        </w:rPr>
      </w:pPr>
      <w:r>
        <w:rPr>
          <w:rFonts w:hint="eastAsia" w:ascii="Times New Roman" w:hAnsi="Times New Roman" w:eastAsia="仿宋" w:cs="Times New Roman"/>
          <w:b/>
          <w:bCs/>
          <w:color w:val="auto"/>
          <w:kern w:val="2"/>
          <w:sz w:val="32"/>
          <w:szCs w:val="22"/>
          <w:highlight w:val="none"/>
          <w:lang w:val="en-US" w:eastAsia="zh-CN" w:bidi="ar-SA"/>
        </w:rPr>
        <w:t>从广东来看</w:t>
      </w:r>
      <w:r>
        <w:rPr>
          <w:rFonts w:hint="eastAsia" w:ascii="Times New Roman" w:hAnsi="Times New Roman" w:eastAsia="仿宋" w:cs="Times New Roman"/>
          <w:color w:val="auto"/>
          <w:kern w:val="2"/>
          <w:sz w:val="32"/>
          <w:szCs w:val="22"/>
          <w:highlight w:val="none"/>
          <w:lang w:val="en-US" w:eastAsia="zh-CN" w:bidi="ar-SA"/>
        </w:rPr>
        <w:t>，广东经济总量大、产业配套齐、市场机制活、开放水平高，转型升级的趋势和领先发展的态势更加明显，城市抱团发展、湾区聚合发展加快。深度参与“一带一路”建设，深入实施主体功能区战略和新型城镇化战略，加快形成主体功能明显、优势互补、高质量的“一核一带一区”区域发展格局，推动完善“双核+双副中心”动力机制，加快构建世界级沿海产业带，高质量发展势头强劲。</w:t>
      </w:r>
    </w:p>
    <w:p>
      <w:pPr>
        <w:pStyle w:val="2"/>
        <w:rPr>
          <w:rFonts w:hint="eastAsia" w:ascii="Times New Roman" w:hAnsi="Times New Roman" w:eastAsia="仿宋" w:cs="Times New Roman"/>
          <w:color w:val="auto"/>
          <w:kern w:val="2"/>
          <w:sz w:val="32"/>
          <w:szCs w:val="22"/>
          <w:highlight w:val="none"/>
          <w:lang w:val="en-US" w:eastAsia="zh-CN" w:bidi="ar-SA"/>
        </w:rPr>
      </w:pPr>
      <w:r>
        <w:rPr>
          <w:rFonts w:hint="eastAsia" w:ascii="Times New Roman" w:hAnsi="Times New Roman" w:eastAsia="仿宋" w:cs="Times New Roman"/>
          <w:b/>
          <w:bCs/>
          <w:color w:val="auto"/>
          <w:kern w:val="2"/>
          <w:sz w:val="32"/>
          <w:szCs w:val="22"/>
          <w:highlight w:val="none"/>
          <w:lang w:val="en-US" w:eastAsia="zh-CN" w:bidi="ar-SA"/>
        </w:rPr>
        <w:t>从湛江来看</w:t>
      </w:r>
      <w:r>
        <w:rPr>
          <w:rFonts w:hint="eastAsia" w:ascii="Times New Roman" w:hAnsi="Times New Roman" w:eastAsia="仿宋" w:cs="Times New Roman"/>
          <w:color w:val="auto"/>
          <w:kern w:val="2"/>
          <w:sz w:val="32"/>
          <w:szCs w:val="22"/>
          <w:highlight w:val="none"/>
          <w:lang w:val="en-US" w:eastAsia="zh-CN" w:bidi="ar-SA"/>
        </w:rPr>
        <w:t>，中央和省委、省政府高度重视湛江发展，习近平总书记亲自为湛江发展掌舵领航、把脉定向，赋予湛江“打造现代化沿海经济带重要发展极”和“与海南相向而行”的时代使命。省委、省政府明确支持湛江全力建设省域副中心城市，把湛江作为“一核一带一区”区域协调发展战略重要一环强力推进。随着粤港澳大湾区、海南自由贸易港、西部陆海新通道等加快建设，湛江作为粤琼桂三省（区）交汇点的区位优势更加凸显。</w:t>
      </w:r>
    </w:p>
    <w:p>
      <w:pPr>
        <w:pStyle w:val="4"/>
        <w:spacing w:before="62" w:after="62"/>
        <w:ind w:firstLine="0"/>
        <w:jc w:val="center"/>
        <w:rPr>
          <w:rFonts w:hint="default" w:ascii="宋体" w:hAnsi="宋体"/>
          <w:color w:val="auto"/>
          <w:highlight w:val="none"/>
        </w:rPr>
      </w:pPr>
      <w:bookmarkStart w:id="29" w:name="_Toc24327"/>
      <w:bookmarkStart w:id="30" w:name="_Toc12805"/>
      <w:bookmarkStart w:id="31" w:name="_Toc53003155"/>
      <w:bookmarkStart w:id="32" w:name="_Toc14893"/>
      <w:bookmarkStart w:id="33" w:name="_Toc21969"/>
      <w:bookmarkStart w:id="34" w:name="_Toc23309"/>
      <w:bookmarkStart w:id="35" w:name="_Toc9125"/>
      <w:bookmarkStart w:id="36" w:name="_Toc20850"/>
      <w:bookmarkStart w:id="37" w:name="_Toc30073"/>
      <w:r>
        <w:rPr>
          <w:rFonts w:hint="default" w:ascii="宋体" w:hAnsi="宋体"/>
          <w:color w:val="auto"/>
          <w:highlight w:val="none"/>
        </w:rPr>
        <w:t>第三节 机遇挑战</w:t>
      </w:r>
      <w:bookmarkEnd w:id="29"/>
      <w:bookmarkEnd w:id="30"/>
      <w:bookmarkEnd w:id="31"/>
      <w:bookmarkEnd w:id="32"/>
      <w:bookmarkEnd w:id="33"/>
      <w:bookmarkEnd w:id="34"/>
      <w:bookmarkEnd w:id="35"/>
    </w:p>
    <w:bookmarkEnd w:id="36"/>
    <w:bookmarkEnd w:id="37"/>
    <w:p>
      <w:pPr>
        <w:bidi w:val="0"/>
        <w:rPr>
          <w:rFonts w:ascii="等线" w:hAnsi="等线" w:eastAsia="仿宋" w:cs="Times New Roman"/>
          <w:color w:val="auto"/>
          <w:sz w:val="32"/>
          <w:szCs w:val="22"/>
          <w:highlight w:val="none"/>
          <w:lang w:val="en-US" w:bidi="ar-SA"/>
        </w:rPr>
      </w:pPr>
      <w:r>
        <w:rPr>
          <w:rFonts w:hint="eastAsia"/>
          <w:color w:val="auto"/>
          <w:szCs w:val="22"/>
          <w:highlight w:val="none"/>
        </w:rPr>
        <w:t>“十四五”时期，坡头区面临高质量发展大好机遇。省委、省政府明确支持湛江全力建设省域副中心城市，省委省政府要求“建设好海东新区，为湛茂阳都市区发展建设提供有力支撑”，市委市政府把海东作为湛江城市扩容提质主战场，从中央到省市都强调“坚持创新在现代化建设全局中处于核心地位”，市委市政府又将湛江国家高新区布局海东，作为高新产业发展主阵地，南三滨海旅游示范区回归坡头区，功能区优势进一步叠加。随着</w:t>
      </w:r>
      <w:r>
        <w:rPr>
          <w:rFonts w:hint="eastAsia"/>
          <w:color w:val="auto"/>
          <w:szCs w:val="22"/>
          <w:highlight w:val="none"/>
          <w:lang w:val="en-US" w:eastAsia="zh-CN"/>
        </w:rPr>
        <w:t>湛江</w:t>
      </w:r>
      <w:r>
        <w:rPr>
          <w:rFonts w:hint="eastAsia"/>
          <w:color w:val="auto"/>
          <w:szCs w:val="22"/>
          <w:highlight w:val="none"/>
        </w:rPr>
        <w:t>国际机场、广湛高铁、环城高速落地建设，快速交通优势日益凸显；随着“打造现代化沿海经济带”深入推进，海岸带资源优势将逐步转化为发展优势；随着国土空间优化整合，比较优势进一步凸显，广大商家企业纷纷提前布局抢滩坡头，“投资坡头，居住坡头”观念，逐渐深入人心。</w:t>
      </w:r>
    </w:p>
    <w:p>
      <w:pPr>
        <w:ind w:firstLine="640"/>
        <w:rPr>
          <w:color w:val="auto"/>
          <w:highlight w:val="none"/>
        </w:rPr>
      </w:pPr>
      <w:r>
        <w:rPr>
          <w:color w:val="auto"/>
          <w:highlight w:val="none"/>
        </w:rPr>
        <w:t>与此同时必须看到，坡头发展还存在一些问题，</w:t>
      </w:r>
      <w:r>
        <w:rPr>
          <w:b/>
          <w:bCs/>
          <w:color w:val="auto"/>
          <w:highlight w:val="none"/>
        </w:rPr>
        <w:t>一是</w:t>
      </w:r>
      <w:r>
        <w:rPr>
          <w:color w:val="auto"/>
          <w:highlight w:val="none"/>
        </w:rPr>
        <w:t>缺乏本地支柱</w:t>
      </w:r>
      <w:r>
        <w:rPr>
          <w:rFonts w:hint="eastAsia"/>
          <w:color w:val="auto"/>
          <w:highlight w:val="none"/>
          <w:lang w:val="en-US" w:eastAsia="zh-CN"/>
        </w:rPr>
        <w:t>大企业</w:t>
      </w:r>
      <w:r>
        <w:rPr>
          <w:color w:val="auto"/>
          <w:highlight w:val="none"/>
        </w:rPr>
        <w:t>，</w:t>
      </w:r>
      <w:r>
        <w:rPr>
          <w:rFonts w:hint="eastAsia"/>
          <w:color w:val="auto"/>
          <w:highlight w:val="none"/>
        </w:rPr>
        <w:t>区属经济总量规模不大，工业底子薄弱，高新产业发展支撑不足</w:t>
      </w:r>
      <w:r>
        <w:rPr>
          <w:color w:val="auto"/>
          <w:highlight w:val="none"/>
        </w:rPr>
        <w:t>。</w:t>
      </w:r>
      <w:r>
        <w:rPr>
          <w:b/>
          <w:bCs/>
          <w:color w:val="auto"/>
          <w:highlight w:val="none"/>
        </w:rPr>
        <w:t>二是</w:t>
      </w:r>
      <w:r>
        <w:rPr>
          <w:rFonts w:hint="eastAsia"/>
          <w:b w:val="0"/>
          <w:bCs w:val="0"/>
          <w:color w:val="auto"/>
          <w:highlight w:val="none"/>
          <w:lang w:val="en-US" w:eastAsia="zh-CN"/>
        </w:rPr>
        <w:t>商贸服务及公共服务仍然滞后，与中心城区地位不相匹配。</w:t>
      </w:r>
      <w:r>
        <w:rPr>
          <w:b/>
          <w:bCs/>
          <w:color w:val="auto"/>
          <w:highlight w:val="none"/>
        </w:rPr>
        <w:t>三是</w:t>
      </w:r>
      <w:r>
        <w:rPr>
          <w:rFonts w:hint="eastAsia"/>
          <w:color w:val="auto"/>
          <w:highlight w:val="none"/>
        </w:rPr>
        <w:t>镇域、城乡发展不够协调</w:t>
      </w:r>
      <w:r>
        <w:rPr>
          <w:rFonts w:hint="eastAsia"/>
          <w:color w:val="auto"/>
          <w:highlight w:val="none"/>
          <w:lang w:eastAsia="zh-CN"/>
        </w:rPr>
        <w:t>，</w:t>
      </w:r>
      <w:r>
        <w:rPr>
          <w:color w:val="auto"/>
          <w:highlight w:val="none"/>
        </w:rPr>
        <w:t>农村发展滞后。</w:t>
      </w:r>
      <w:r>
        <w:rPr>
          <w:rFonts w:hint="eastAsia"/>
          <w:b/>
          <w:bCs/>
          <w:color w:val="auto"/>
          <w:highlight w:val="none"/>
          <w:lang w:val="en-US" w:eastAsia="zh-CN"/>
        </w:rPr>
        <w:t>四</w:t>
      </w:r>
      <w:r>
        <w:rPr>
          <w:b/>
          <w:bCs/>
          <w:color w:val="auto"/>
          <w:highlight w:val="none"/>
        </w:rPr>
        <w:t>是</w:t>
      </w:r>
      <w:r>
        <w:rPr>
          <w:rFonts w:hint="eastAsia"/>
          <w:color w:val="auto"/>
          <w:highlight w:val="none"/>
        </w:rPr>
        <w:t>交通内部循环短板突出</w:t>
      </w:r>
      <w:r>
        <w:rPr>
          <w:rFonts w:hint="eastAsia"/>
          <w:color w:val="auto"/>
          <w:highlight w:val="none"/>
          <w:lang w:eastAsia="zh-CN"/>
        </w:rPr>
        <w:t>，</w:t>
      </w:r>
      <w:r>
        <w:rPr>
          <w:rFonts w:hint="eastAsia"/>
          <w:color w:val="auto"/>
          <w:highlight w:val="none"/>
        </w:rPr>
        <w:t>海湾两岸交通不便捷</w:t>
      </w:r>
      <w:r>
        <w:rPr>
          <w:color w:val="auto"/>
          <w:highlight w:val="none"/>
        </w:rPr>
        <w:t>。</w:t>
      </w:r>
      <w:r>
        <w:rPr>
          <w:rFonts w:hint="eastAsia"/>
          <w:b/>
          <w:bCs/>
          <w:color w:val="auto"/>
          <w:highlight w:val="none"/>
          <w:lang w:val="en-US" w:eastAsia="zh-CN"/>
        </w:rPr>
        <w:t>五</w:t>
      </w:r>
      <w:r>
        <w:rPr>
          <w:b/>
          <w:bCs/>
          <w:color w:val="auto"/>
          <w:highlight w:val="none"/>
        </w:rPr>
        <w:t>是</w:t>
      </w:r>
      <w:r>
        <w:rPr>
          <w:rFonts w:hint="eastAsia"/>
          <w:color w:val="auto"/>
          <w:highlight w:val="none"/>
        </w:rPr>
        <w:t>社会治理能力</w:t>
      </w:r>
      <w:r>
        <w:rPr>
          <w:rFonts w:hint="eastAsia"/>
          <w:color w:val="auto"/>
          <w:highlight w:val="none"/>
          <w:lang w:val="en-US" w:eastAsia="zh-CN"/>
        </w:rPr>
        <w:t>和</w:t>
      </w:r>
      <w:r>
        <w:rPr>
          <w:color w:val="auto"/>
          <w:highlight w:val="none"/>
        </w:rPr>
        <w:t>营商环境有待提升，办事效率、服务水平与经济社会高质量发展尚有差距。</w:t>
      </w:r>
      <w:r>
        <w:rPr>
          <w:rFonts w:hint="eastAsia"/>
          <w:color w:val="auto"/>
          <w:szCs w:val="22"/>
          <w:highlight w:val="none"/>
        </w:rPr>
        <w:t>周边县区千帆竞发、百舸争流，并且与</w:t>
      </w:r>
      <w:r>
        <w:rPr>
          <w:rFonts w:hint="eastAsia"/>
          <w:color w:val="auto"/>
          <w:szCs w:val="22"/>
          <w:highlight w:val="none"/>
          <w:lang w:val="en-US" w:eastAsia="zh-CN"/>
        </w:rPr>
        <w:t>坡头</w:t>
      </w:r>
      <w:r>
        <w:rPr>
          <w:rFonts w:hint="eastAsia"/>
          <w:color w:val="auto"/>
          <w:szCs w:val="22"/>
          <w:highlight w:val="none"/>
        </w:rPr>
        <w:t>同场竞技、同质竞争，</w:t>
      </w:r>
      <w:r>
        <w:rPr>
          <w:rFonts w:hint="eastAsia"/>
          <w:color w:val="auto"/>
          <w:highlight w:val="none"/>
        </w:rPr>
        <w:t>给</w:t>
      </w:r>
      <w:r>
        <w:rPr>
          <w:rFonts w:hint="eastAsia"/>
          <w:color w:val="auto"/>
          <w:highlight w:val="none"/>
          <w:lang w:val="en-US" w:eastAsia="zh-CN"/>
        </w:rPr>
        <w:t>坡头</w:t>
      </w:r>
      <w:r>
        <w:rPr>
          <w:rFonts w:hint="eastAsia"/>
          <w:color w:val="auto"/>
          <w:highlight w:val="none"/>
        </w:rPr>
        <w:t>发展带来较大的竞争压力。</w:t>
      </w:r>
    </w:p>
    <w:p>
      <w:pPr>
        <w:rPr>
          <w:color w:val="auto"/>
          <w:highlight w:val="none"/>
        </w:rPr>
      </w:pPr>
      <w:r>
        <w:rPr>
          <w:b/>
          <w:bCs/>
          <w:color w:val="auto"/>
          <w:highlight w:val="none"/>
        </w:rPr>
        <w:t>综合判断：</w:t>
      </w:r>
      <w:r>
        <w:rPr>
          <w:rFonts w:hint="eastAsia" w:ascii="Times New Roman" w:hAnsi="Times New Roman" w:eastAsia="仿宋" w:cs="Times New Roman"/>
          <w:color w:val="auto"/>
          <w:kern w:val="2"/>
          <w:sz w:val="32"/>
          <w:szCs w:val="22"/>
          <w:highlight w:val="none"/>
          <w:lang w:val="en-US" w:eastAsia="zh-CN" w:bidi="ar-SA"/>
        </w:rPr>
        <w:t>坡头区正处于“时势”“危机”“变化”大局当中，工业化发展、高增长发展，仍是坡头的</w:t>
      </w:r>
      <w:r>
        <w:rPr>
          <w:rFonts w:hint="eastAsia" w:cs="Times New Roman"/>
          <w:color w:val="auto"/>
          <w:kern w:val="2"/>
          <w:sz w:val="32"/>
          <w:szCs w:val="22"/>
          <w:highlight w:val="none"/>
          <w:lang w:val="en-US" w:eastAsia="zh-CN" w:bidi="ar-SA"/>
        </w:rPr>
        <w:t>发展方向</w:t>
      </w:r>
      <w:r>
        <w:rPr>
          <w:rFonts w:hint="eastAsia" w:ascii="Times New Roman" w:hAnsi="Times New Roman" w:eastAsia="仿宋" w:cs="Times New Roman"/>
          <w:color w:val="auto"/>
          <w:kern w:val="2"/>
          <w:sz w:val="32"/>
          <w:szCs w:val="22"/>
          <w:highlight w:val="none"/>
          <w:lang w:val="en-US" w:eastAsia="zh-CN" w:bidi="ar-SA"/>
        </w:rPr>
        <w:t>。坡头区作为湛江市核心城区，应增强忧患意识，把握长期大势，善于化危为机，推进更深层次的改革，抢抓历史性机遇。要坚持推进高质量发展的主题不变，坚持创新发展与扩容提质的定位不变，坚持“医”“海”产业方向不变，主动融入对接粤港澳大湾区，与海南自贸港建设相向而行，为湛江全力建设“省域副中心”尽心尽力，正确处理好发展和质量、效益的关系，正确处理好经济发展与保护生态环境关系，保持定力、心无旁骛、行稳致远，积极应对各种挑战，推动坡头城市能级和核心竞争力不断提升，创造坡头发展新辉煌。</w:t>
      </w:r>
    </w:p>
    <w:p>
      <w:pPr>
        <w:ind w:firstLine="640"/>
        <w:rPr>
          <w:color w:val="auto"/>
          <w:highlight w:val="none"/>
        </w:rPr>
        <w:sectPr>
          <w:pgSz w:w="11906" w:h="16838"/>
          <w:pgMar w:top="1440" w:right="1800" w:bottom="1440" w:left="1800" w:header="851" w:footer="850" w:gutter="0"/>
          <w:cols w:space="720" w:num="1"/>
          <w:docGrid w:type="lines" w:linePitch="435" w:charSpace="0"/>
        </w:sectPr>
      </w:pPr>
      <w:bookmarkStart w:id="38" w:name="_Toc11416"/>
    </w:p>
    <w:p>
      <w:pPr>
        <w:pStyle w:val="3"/>
        <w:spacing w:before="156" w:after="156"/>
        <w:rPr>
          <w:color w:val="auto"/>
          <w:highlight w:val="none"/>
        </w:rPr>
      </w:pPr>
      <w:bookmarkStart w:id="39" w:name="_Toc8249"/>
      <w:bookmarkStart w:id="40" w:name="_Toc20277"/>
      <w:bookmarkStart w:id="41" w:name="_Toc13974"/>
      <w:bookmarkStart w:id="42" w:name="_Toc53003156"/>
      <w:bookmarkStart w:id="43" w:name="_Toc13680"/>
      <w:bookmarkStart w:id="44" w:name="_Toc16133"/>
      <w:bookmarkStart w:id="45" w:name="_Toc14395"/>
      <w:r>
        <w:rPr>
          <w:color w:val="auto"/>
          <w:highlight w:val="none"/>
        </w:rPr>
        <w:t xml:space="preserve">第二章  </w:t>
      </w:r>
      <w:bookmarkEnd w:id="38"/>
      <w:bookmarkEnd w:id="39"/>
      <w:bookmarkEnd w:id="40"/>
      <w:bookmarkEnd w:id="41"/>
      <w:bookmarkEnd w:id="42"/>
      <w:bookmarkEnd w:id="43"/>
      <w:bookmarkEnd w:id="44"/>
      <w:r>
        <w:rPr>
          <w:rFonts w:hint="eastAsia"/>
          <w:color w:val="auto"/>
          <w:highlight w:val="none"/>
        </w:rPr>
        <w:t>前瞻全局谋划 谱写高质量发展新篇章</w:t>
      </w:r>
      <w:bookmarkEnd w:id="45"/>
    </w:p>
    <w:p>
      <w:pPr>
        <w:bidi w:val="0"/>
        <w:rPr>
          <w:rFonts w:hint="default" w:eastAsia="仿宋"/>
          <w:color w:val="auto"/>
          <w:highlight w:val="none"/>
          <w:lang w:val="en-US" w:eastAsia="zh-CN"/>
        </w:rPr>
      </w:pPr>
      <w:bookmarkStart w:id="46" w:name="_Toc26946"/>
      <w:bookmarkStart w:id="47" w:name="_Toc23237"/>
      <w:bookmarkStart w:id="48" w:name="_Toc24711"/>
      <w:bookmarkStart w:id="49" w:name="_Toc8123"/>
      <w:bookmarkStart w:id="50" w:name="_Toc53003157"/>
      <w:bookmarkStart w:id="51" w:name="_Toc21932"/>
      <w:r>
        <w:rPr>
          <w:rFonts w:hint="eastAsia" w:ascii="仿宋" w:hAnsi="仿宋" w:eastAsia="仿宋" w:cs="仿宋"/>
          <w:color w:val="auto"/>
          <w:highlight w:val="none"/>
        </w:rPr>
        <w:t>“十四五”时</w:t>
      </w:r>
      <w:r>
        <w:rPr>
          <w:rFonts w:hint="default"/>
          <w:color w:val="auto"/>
          <w:highlight w:val="none"/>
        </w:rPr>
        <w:t>期，</w:t>
      </w:r>
      <w:r>
        <w:rPr>
          <w:rFonts w:hint="eastAsia"/>
          <w:color w:val="auto"/>
          <w:highlight w:val="none"/>
          <w:lang w:val="en-US" w:eastAsia="zh-CN"/>
        </w:rPr>
        <w:t>坡头</w:t>
      </w:r>
      <w:r>
        <w:rPr>
          <w:rFonts w:hint="default"/>
          <w:color w:val="auto"/>
          <w:highlight w:val="none"/>
        </w:rPr>
        <w:t>要</w:t>
      </w:r>
      <w:r>
        <w:rPr>
          <w:rFonts w:hint="eastAsia"/>
          <w:color w:val="auto"/>
          <w:highlight w:val="none"/>
          <w:lang w:val="en-US" w:eastAsia="zh-CN"/>
        </w:rPr>
        <w:t>立足</w:t>
      </w:r>
      <w:r>
        <w:rPr>
          <w:rFonts w:hint="default"/>
          <w:color w:val="auto"/>
          <w:highlight w:val="none"/>
        </w:rPr>
        <w:t>湛江城市提质扩容主战场和高新产业发展主阵地的发展定位，</w:t>
      </w:r>
      <w:r>
        <w:rPr>
          <w:rFonts w:hint="eastAsia"/>
          <w:color w:val="auto"/>
          <w:highlight w:val="none"/>
          <w:lang w:val="en-US" w:eastAsia="zh-CN"/>
        </w:rPr>
        <w:t>明确指导思想、基本原则和发展目标，顺利开启全面建设社会主义现代化新征程。</w:t>
      </w:r>
    </w:p>
    <w:p>
      <w:pPr>
        <w:pStyle w:val="4"/>
        <w:spacing w:before="62" w:after="62"/>
        <w:ind w:firstLine="0"/>
        <w:jc w:val="center"/>
        <w:rPr>
          <w:rFonts w:hint="default" w:ascii="宋体" w:hAnsi="宋体"/>
          <w:color w:val="auto"/>
          <w:highlight w:val="none"/>
        </w:rPr>
      </w:pPr>
      <w:bookmarkStart w:id="52" w:name="_Toc10281"/>
      <w:r>
        <w:rPr>
          <w:rFonts w:hint="default" w:ascii="宋体" w:hAnsi="宋体"/>
          <w:color w:val="auto"/>
          <w:highlight w:val="none"/>
        </w:rPr>
        <w:t>第一节 指导思想</w:t>
      </w:r>
      <w:bookmarkEnd w:id="46"/>
      <w:bookmarkEnd w:id="47"/>
      <w:bookmarkEnd w:id="48"/>
      <w:bookmarkEnd w:id="49"/>
      <w:bookmarkEnd w:id="50"/>
      <w:bookmarkEnd w:id="51"/>
      <w:bookmarkEnd w:id="52"/>
    </w:p>
    <w:p>
      <w:pPr>
        <w:ind w:firstLine="640"/>
        <w:rPr>
          <w:color w:val="auto"/>
          <w:highlight w:val="none"/>
        </w:rPr>
      </w:pPr>
      <w:r>
        <w:rPr>
          <w:color w:val="auto"/>
          <w:highlight w:val="none"/>
          <w:lang w:val="zh-CN"/>
        </w:rPr>
        <w:t>高举中国特色社会主义伟大旗帜，深入贯彻党的十九大和十九届二中、三中、四中、五中全会精神，贯彻落实</w:t>
      </w:r>
      <w:r>
        <w:rPr>
          <w:rFonts w:hint="eastAsia"/>
          <w:color w:val="auto"/>
          <w:highlight w:val="none"/>
          <w:lang w:val="zh-CN"/>
        </w:rPr>
        <w:t>习近平总书记重要讲话重要指示精神</w:t>
      </w:r>
      <w:r>
        <w:rPr>
          <w:color w:val="auto"/>
          <w:highlight w:val="none"/>
          <w:lang w:val="zh-CN"/>
        </w:rPr>
        <w:t>，全面贯彻党的基本理论、基本路线、基本方略，</w:t>
      </w:r>
      <w:r>
        <w:rPr>
          <w:rFonts w:hint="eastAsia"/>
          <w:color w:val="auto"/>
          <w:highlight w:val="none"/>
          <w:lang w:val="zh-CN"/>
        </w:rPr>
        <w:t>统筹推进“五位一体”总体布局，协调推进“四个全面”战略布局，认真落实省“</w:t>
      </w:r>
      <w:r>
        <w:rPr>
          <w:rFonts w:hint="eastAsia" w:ascii="Times New Roman" w:hAnsi="Times New Roman"/>
          <w:color w:val="auto"/>
          <w:highlight w:val="none"/>
          <w:lang w:val="zh-CN"/>
        </w:rPr>
        <w:t>1</w:t>
      </w:r>
      <w:r>
        <w:rPr>
          <w:rFonts w:hint="eastAsia"/>
          <w:color w:val="auto"/>
          <w:highlight w:val="none"/>
          <w:lang w:val="zh-CN"/>
        </w:rPr>
        <w:t>+</w:t>
      </w:r>
      <w:r>
        <w:rPr>
          <w:rFonts w:hint="eastAsia" w:ascii="Times New Roman" w:hAnsi="Times New Roman"/>
          <w:color w:val="auto"/>
          <w:highlight w:val="none"/>
          <w:lang w:val="zh-CN"/>
        </w:rPr>
        <w:t>1</w:t>
      </w:r>
      <w:r>
        <w:rPr>
          <w:rFonts w:hint="eastAsia"/>
          <w:color w:val="auto"/>
          <w:highlight w:val="none"/>
          <w:lang w:val="zh-CN"/>
        </w:rPr>
        <w:t>+</w:t>
      </w:r>
      <w:r>
        <w:rPr>
          <w:rFonts w:hint="eastAsia" w:ascii="Times New Roman" w:hAnsi="Times New Roman"/>
          <w:color w:val="auto"/>
          <w:highlight w:val="none"/>
          <w:lang w:val="zh-CN"/>
        </w:rPr>
        <w:t>9</w:t>
      </w:r>
      <w:r>
        <w:rPr>
          <w:rFonts w:hint="eastAsia"/>
          <w:color w:val="auto"/>
          <w:highlight w:val="none"/>
          <w:lang w:val="zh-CN"/>
        </w:rPr>
        <w:t>”工作部署，紧紧围绕“全力建设省域副中心城市、加快打造现代化沿海经济带重要发展极”总目标总任务，</w:t>
      </w:r>
      <w:r>
        <w:rPr>
          <w:color w:val="auto"/>
          <w:highlight w:val="none"/>
          <w:lang w:val="zh-CN"/>
        </w:rPr>
        <w:t>立足以国内大循环为主体、国内国际双循环相互促进的新发展格局，主动对接</w:t>
      </w:r>
      <w:r>
        <w:rPr>
          <w:rFonts w:hint="eastAsia"/>
          <w:color w:val="auto"/>
          <w:highlight w:val="none"/>
          <w:lang w:val="zh-CN"/>
        </w:rPr>
        <w:t>“</w:t>
      </w:r>
      <w:r>
        <w:rPr>
          <w:rFonts w:hint="eastAsia"/>
          <w:color w:val="auto"/>
          <w:highlight w:val="none"/>
          <w:lang w:val="en-US" w:eastAsia="zh-CN"/>
        </w:rPr>
        <w:t>双区</w:t>
      </w:r>
      <w:r>
        <w:rPr>
          <w:rFonts w:hint="eastAsia"/>
          <w:color w:val="auto"/>
          <w:highlight w:val="none"/>
          <w:lang w:val="zh-CN"/>
        </w:rPr>
        <w:t>”</w:t>
      </w:r>
      <w:r>
        <w:rPr>
          <w:color w:val="auto"/>
          <w:highlight w:val="none"/>
          <w:lang w:val="zh-CN"/>
        </w:rPr>
        <w:t>建设，全面推进与海南相向而行，持续推进</w:t>
      </w:r>
      <w:r>
        <w:rPr>
          <w:rFonts w:hint="eastAsia"/>
          <w:color w:val="auto"/>
          <w:highlight w:val="none"/>
          <w:lang w:val="zh-CN"/>
        </w:rPr>
        <w:t>“</w:t>
      </w:r>
      <w:r>
        <w:rPr>
          <w:color w:val="auto"/>
          <w:highlight w:val="none"/>
          <w:lang w:val="zh-CN"/>
        </w:rPr>
        <w:t>一通道、一港区、一示范</w:t>
      </w:r>
      <w:r>
        <w:rPr>
          <w:rFonts w:hint="eastAsia"/>
          <w:color w:val="auto"/>
          <w:highlight w:val="none"/>
          <w:lang w:val="zh-CN"/>
        </w:rPr>
        <w:t>”</w:t>
      </w:r>
      <w:r>
        <w:rPr>
          <w:color w:val="auto"/>
          <w:highlight w:val="none"/>
          <w:lang w:val="zh-CN"/>
        </w:rPr>
        <w:t>建设，实施创新驱动发展战略，做好临港产业、滨海旅游、特色优势农业、军民融合</w:t>
      </w:r>
      <w:r>
        <w:rPr>
          <w:rFonts w:hint="eastAsia"/>
          <w:color w:val="auto"/>
          <w:highlight w:val="none"/>
          <w:lang w:val="zh-CN"/>
        </w:rPr>
        <w:t>“</w:t>
      </w:r>
      <w:r>
        <w:rPr>
          <w:rFonts w:hint="eastAsia"/>
          <w:color w:val="auto"/>
          <w:highlight w:val="none"/>
          <w:lang w:val="en-US" w:eastAsia="zh-CN"/>
        </w:rPr>
        <w:t>四篇</w:t>
      </w:r>
      <w:r>
        <w:rPr>
          <w:color w:val="auto"/>
          <w:highlight w:val="none"/>
          <w:lang w:val="zh-CN"/>
        </w:rPr>
        <w:t>文章</w:t>
      </w:r>
      <w:r>
        <w:rPr>
          <w:rFonts w:hint="eastAsia"/>
          <w:color w:val="auto"/>
          <w:highlight w:val="none"/>
          <w:lang w:val="zh-CN"/>
        </w:rPr>
        <w:t>”</w:t>
      </w:r>
      <w:r>
        <w:rPr>
          <w:color w:val="auto"/>
          <w:highlight w:val="none"/>
          <w:lang w:val="zh-CN"/>
        </w:rPr>
        <w:t>，</w:t>
      </w:r>
      <w:r>
        <w:rPr>
          <w:rFonts w:hint="eastAsia"/>
          <w:color w:val="auto"/>
          <w:highlight w:val="none"/>
          <w:lang w:val="zh-CN"/>
        </w:rPr>
        <w:t>持续推进“四大抓手”、深入实施“五大产业发展计划”</w:t>
      </w:r>
      <w:r>
        <w:rPr>
          <w:rFonts w:hint="eastAsia"/>
          <w:color w:val="auto"/>
          <w:highlight w:val="none"/>
          <w:lang w:val="en-US" w:eastAsia="zh-CN"/>
        </w:rPr>
        <w:t>，</w:t>
      </w:r>
      <w:r>
        <w:rPr>
          <w:color w:val="auto"/>
          <w:highlight w:val="none"/>
          <w:lang w:val="zh-CN"/>
        </w:rPr>
        <w:t>全面深化改革，扩大对外开放，推进治理体系和治理能力现代化，</w:t>
      </w:r>
      <w:r>
        <w:rPr>
          <w:rFonts w:hint="eastAsia"/>
          <w:color w:val="auto"/>
          <w:highlight w:val="none"/>
          <w:lang w:val="zh-CN"/>
        </w:rPr>
        <w:t>探索具有坡头特色、市域特点、时代特征的社会治理新模式，</w:t>
      </w:r>
      <w:r>
        <w:rPr>
          <w:color w:val="auto"/>
          <w:highlight w:val="none"/>
        </w:rPr>
        <w:t>深入实施</w:t>
      </w:r>
      <w:r>
        <w:rPr>
          <w:rFonts w:hint="eastAsia"/>
          <w:color w:val="auto"/>
          <w:highlight w:val="none"/>
        </w:rPr>
        <w:t>“</w:t>
      </w:r>
      <w:r>
        <w:rPr>
          <w:color w:val="auto"/>
          <w:highlight w:val="none"/>
        </w:rPr>
        <w:t>四区融合</w:t>
      </w:r>
      <w:r>
        <w:rPr>
          <w:rFonts w:hint="eastAsia"/>
          <w:color w:val="auto"/>
          <w:highlight w:val="none"/>
        </w:rPr>
        <w:t>”</w:t>
      </w:r>
      <w:r>
        <w:rPr>
          <w:color w:val="auto"/>
          <w:highlight w:val="none"/>
        </w:rPr>
        <w:t>发展战略，着力打造</w:t>
      </w:r>
      <w:r>
        <w:rPr>
          <w:rFonts w:hint="eastAsia"/>
          <w:color w:val="auto"/>
          <w:highlight w:val="none"/>
          <w:lang w:eastAsia="zh-CN"/>
        </w:rPr>
        <w:t>国家沿海经济带先行区科创中心</w:t>
      </w:r>
      <w:r>
        <w:rPr>
          <w:rFonts w:hint="eastAsia"/>
          <w:color w:val="auto"/>
          <w:highlight w:val="none"/>
        </w:rPr>
        <w:t>、</w:t>
      </w:r>
      <w:r>
        <w:rPr>
          <w:rFonts w:hint="eastAsia"/>
          <w:color w:val="auto"/>
          <w:highlight w:val="none"/>
          <w:lang w:eastAsia="zh-CN"/>
        </w:rPr>
        <w:t>省域副中心城市核心城区</w:t>
      </w:r>
      <w:r>
        <w:rPr>
          <w:rFonts w:hint="eastAsia"/>
          <w:color w:val="auto"/>
          <w:highlight w:val="none"/>
        </w:rPr>
        <w:t>、国家海洋休闲旅游示范中心和</w:t>
      </w:r>
      <w:r>
        <w:rPr>
          <w:rFonts w:hint="eastAsia"/>
          <w:color w:val="auto"/>
          <w:highlight w:val="none"/>
          <w:lang w:eastAsia="zh-CN"/>
        </w:rPr>
        <w:t>湛江国际会展贸易中心</w:t>
      </w:r>
      <w:r>
        <w:rPr>
          <w:color w:val="auto"/>
          <w:highlight w:val="none"/>
        </w:rPr>
        <w:t>，建设宜创宜业宜居宜游的现代化生态海湾新城。</w:t>
      </w:r>
    </w:p>
    <w:p>
      <w:pPr>
        <w:pStyle w:val="4"/>
        <w:spacing w:before="62" w:after="62"/>
        <w:ind w:firstLine="0"/>
        <w:jc w:val="center"/>
        <w:rPr>
          <w:rFonts w:hint="default" w:ascii="宋体" w:hAnsi="宋体"/>
          <w:color w:val="auto"/>
          <w:highlight w:val="none"/>
        </w:rPr>
      </w:pPr>
      <w:bookmarkStart w:id="53" w:name="_Toc396"/>
      <w:bookmarkStart w:id="54" w:name="_Toc53003158"/>
      <w:r>
        <w:rPr>
          <w:rFonts w:hint="default" w:ascii="宋体" w:hAnsi="宋体"/>
          <w:color w:val="auto"/>
          <w:highlight w:val="none"/>
        </w:rPr>
        <w:t>第二节 基本原则</w:t>
      </w:r>
      <w:bookmarkEnd w:id="53"/>
      <w:bookmarkEnd w:id="54"/>
    </w:p>
    <w:p>
      <w:pPr>
        <w:rPr>
          <w:color w:val="auto"/>
          <w:highlight w:val="none"/>
        </w:rPr>
      </w:pPr>
      <w:r>
        <w:rPr>
          <w:b/>
          <w:bCs/>
          <w:color w:val="auto"/>
          <w:highlight w:val="none"/>
        </w:rPr>
        <w:t>——坚持党的领导。</w:t>
      </w:r>
      <w:r>
        <w:rPr>
          <w:color w:val="auto"/>
          <w:highlight w:val="none"/>
        </w:rPr>
        <w:t>坚持和完善党领导经济社会发展的体制机制，充分发挥党组织的领导核心作用，带领广大人民群众，不断提高贯彻新发展理念、构建新发展格局能力和水平，为实现高质量发展提供根本保证。</w:t>
      </w:r>
    </w:p>
    <w:p>
      <w:pPr>
        <w:rPr>
          <w:rFonts w:hint="eastAsia" w:ascii="仿宋" w:hAnsi="仿宋" w:eastAsia="仿宋" w:cs="仿宋"/>
          <w:color w:val="auto"/>
          <w:szCs w:val="32"/>
          <w:highlight w:val="none"/>
        </w:rPr>
      </w:pPr>
      <w:r>
        <w:rPr>
          <w:rFonts w:hint="default" w:ascii="Times New Roman" w:hAnsi="Times New Roman" w:eastAsia="仿宋" w:cs="Times New Roman"/>
          <w:b/>
          <w:bCs/>
          <w:color w:val="auto"/>
          <w:highlight w:val="none"/>
        </w:rPr>
        <w:t>——</w:t>
      </w:r>
      <w:r>
        <w:rPr>
          <w:rFonts w:hint="eastAsia" w:ascii="仿宋" w:hAnsi="仿宋" w:eastAsia="仿宋" w:cs="仿宋"/>
          <w:b/>
          <w:color w:val="auto"/>
          <w:szCs w:val="32"/>
          <w:highlight w:val="none"/>
          <w:lang w:bidi="zh-CN"/>
        </w:rPr>
        <w:t>坚持以人民为中心。</w:t>
      </w:r>
      <w:r>
        <w:rPr>
          <w:rFonts w:hint="eastAsia" w:ascii="仿宋" w:hAnsi="仿宋" w:eastAsia="仿宋" w:cs="仿宋"/>
          <w:color w:val="auto"/>
          <w:szCs w:val="32"/>
          <w:highlight w:val="none"/>
        </w:rPr>
        <w:t>坚持人民主体地位，坚持共同富裕方向，始终做到发展为了人民、发展依靠人民、发展成果由人民共享，维护人民根本利益，激发全</w:t>
      </w:r>
      <w:r>
        <w:rPr>
          <w:rFonts w:hint="eastAsia" w:ascii="仿宋" w:hAnsi="仿宋" w:eastAsia="仿宋" w:cs="仿宋"/>
          <w:color w:val="auto"/>
          <w:szCs w:val="32"/>
          <w:highlight w:val="none"/>
          <w:lang w:val="en-US" w:eastAsia="zh-CN"/>
        </w:rPr>
        <w:t>区</w:t>
      </w:r>
      <w:r>
        <w:rPr>
          <w:rFonts w:hint="eastAsia" w:ascii="仿宋" w:hAnsi="仿宋" w:eastAsia="仿宋" w:cs="仿宋"/>
          <w:color w:val="auto"/>
          <w:szCs w:val="32"/>
          <w:highlight w:val="none"/>
        </w:rPr>
        <w:t>人民积极性、主动性、创造性，促进社会公平，增进民生福祉，不断实现人民对美好生活的向往。</w:t>
      </w:r>
    </w:p>
    <w:p>
      <w:pPr>
        <w:pStyle w:val="2"/>
        <w:spacing w:before="156" w:after="156"/>
        <w:rPr>
          <w:rFonts w:hint="eastAsia" w:ascii="仿宋" w:hAnsi="仿宋" w:eastAsia="仿宋" w:cs="仿宋"/>
          <w:color w:val="auto"/>
          <w:highlight w:val="none"/>
        </w:rPr>
      </w:pPr>
      <w:r>
        <w:rPr>
          <w:rFonts w:hint="default" w:ascii="Times New Roman" w:hAnsi="Times New Roman" w:eastAsia="仿宋" w:cs="Times New Roman"/>
          <w:b/>
          <w:bCs/>
          <w:color w:val="auto"/>
          <w:sz w:val="32"/>
          <w:szCs w:val="22"/>
          <w:highlight w:val="none"/>
          <w:lang w:val="en-US" w:bidi="ar-SA"/>
        </w:rPr>
        <w:t>——</w:t>
      </w:r>
      <w:r>
        <w:rPr>
          <w:rFonts w:hint="eastAsia" w:ascii="仿宋" w:hAnsi="仿宋" w:eastAsia="仿宋" w:cs="仿宋"/>
          <w:b/>
          <w:bCs/>
          <w:color w:val="auto"/>
          <w:sz w:val="32"/>
          <w:szCs w:val="22"/>
          <w:highlight w:val="none"/>
          <w:lang w:val="en-US" w:bidi="ar-SA"/>
        </w:rPr>
        <w:t>坚持深化改革开放。</w:t>
      </w:r>
      <w:r>
        <w:rPr>
          <w:rFonts w:hint="eastAsia" w:ascii="仿宋" w:hAnsi="仿宋" w:eastAsia="仿宋" w:cs="仿宋"/>
          <w:color w:val="auto"/>
          <w:sz w:val="32"/>
          <w:szCs w:val="32"/>
          <w:highlight w:val="none"/>
        </w:rPr>
        <w:t>坚定不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pPr>
        <w:rPr>
          <w:color w:val="auto"/>
          <w:highlight w:val="none"/>
        </w:rPr>
      </w:pPr>
      <w:r>
        <w:rPr>
          <w:b/>
          <w:bCs/>
          <w:color w:val="auto"/>
          <w:highlight w:val="none"/>
        </w:rPr>
        <w:t>——坚持贯彻新发展理念。</w:t>
      </w:r>
      <w:r>
        <w:rPr>
          <w:color w:val="auto"/>
          <w:highlight w:val="none"/>
        </w:rPr>
        <w:t>把新发展理念贯穿发展全过程和各领域，构建新发展格局，切实转变发展方式，推动质量变革、效率变革、动力变革，实现更高质量、更有效率、更加公平、更可持续、更为安全的发展。</w:t>
      </w:r>
    </w:p>
    <w:p>
      <w:pPr>
        <w:rPr>
          <w:color w:val="auto"/>
          <w:highlight w:val="none"/>
        </w:rPr>
      </w:pPr>
      <w:r>
        <w:rPr>
          <w:b/>
          <w:bCs/>
          <w:color w:val="auto"/>
          <w:highlight w:val="none"/>
        </w:rPr>
        <w:t>——坚持系统观念。</w:t>
      </w:r>
      <w:r>
        <w:rPr>
          <w:rFonts w:hint="eastAsia"/>
          <w:b w:val="0"/>
          <w:bCs w:val="0"/>
          <w:color w:val="auto"/>
          <w:highlight w:val="none"/>
        </w:rPr>
        <w:t>加强前瞻性思考、全局性谋划、战略性布局、整体性推进，坚决服从服务全国全省全市发展大局，着力固根基、扬优势、补短板、强弱项，坚持规划先行、基础设施和公共配套先行、生态优化先行、产业发展先行、营商环境优化先行等“五个先行”理念，注重防范化解重大风险挑战，实现发展质量、结构、规模、速度、效益、安全相统一。</w:t>
      </w:r>
    </w:p>
    <w:p>
      <w:pPr>
        <w:pStyle w:val="4"/>
        <w:spacing w:before="62" w:after="62"/>
        <w:ind w:firstLine="0"/>
        <w:jc w:val="center"/>
        <w:rPr>
          <w:rFonts w:hint="eastAsia" w:ascii="宋体" w:hAnsi="宋体"/>
          <w:color w:val="auto"/>
          <w:highlight w:val="none"/>
          <w:lang w:val="en-US" w:eastAsia="zh-CN"/>
        </w:rPr>
      </w:pPr>
      <w:bookmarkStart w:id="55" w:name="_Toc28109"/>
      <w:bookmarkStart w:id="56" w:name="_Toc53003159"/>
      <w:bookmarkStart w:id="57" w:name="_Toc5764"/>
      <w:bookmarkStart w:id="58" w:name="_Toc18375"/>
      <w:bookmarkStart w:id="59" w:name="_Toc8651"/>
      <w:bookmarkStart w:id="60" w:name="_Toc11236"/>
      <w:bookmarkStart w:id="61" w:name="_Toc4265"/>
      <w:r>
        <w:rPr>
          <w:rFonts w:hint="eastAsia" w:ascii="宋体" w:hAnsi="宋体"/>
          <w:color w:val="auto"/>
          <w:highlight w:val="none"/>
          <w:lang w:val="en-US" w:eastAsia="zh-CN"/>
        </w:rPr>
        <w:t>第三节 发展定位</w:t>
      </w:r>
      <w:bookmarkEnd w:id="55"/>
    </w:p>
    <w:p>
      <w:pPr>
        <w:numPr>
          <w:ilvl w:val="0"/>
          <w:numId w:val="0"/>
        </w:numPr>
        <w:bidi w:val="0"/>
        <w:ind w:firstLine="643" w:firstLineChars="200"/>
        <w:rPr>
          <w:rFonts w:hint="eastAsia" w:ascii="仿宋" w:hAnsi="仿宋" w:eastAsia="仿宋" w:cs="仿宋"/>
          <w:color w:val="auto"/>
          <w:highlight w:val="none"/>
          <w:lang w:val="en-US" w:eastAsia="zh-CN"/>
        </w:rPr>
      </w:pPr>
      <w:r>
        <w:rPr>
          <w:rFonts w:hint="eastAsia"/>
          <w:b/>
          <w:bCs/>
          <w:color w:val="auto"/>
          <w:highlight w:val="none"/>
          <w:lang w:val="en-US" w:eastAsia="zh-CN"/>
        </w:rPr>
        <w:t>国家沿海经济带先行区</w:t>
      </w:r>
      <w:r>
        <w:rPr>
          <w:rFonts w:hint="default"/>
          <w:b/>
          <w:bCs/>
          <w:color w:val="auto"/>
          <w:highlight w:val="none"/>
          <w:lang w:val="en-US" w:eastAsia="zh-CN"/>
        </w:rPr>
        <w:t>科创中心</w:t>
      </w:r>
      <w:r>
        <w:rPr>
          <w:rFonts w:hint="eastAsia"/>
          <w:b/>
          <w:bCs/>
          <w:color w:val="auto"/>
          <w:highlight w:val="none"/>
          <w:lang w:val="en-US" w:eastAsia="zh-CN"/>
        </w:rPr>
        <w:t>。</w:t>
      </w:r>
      <w:r>
        <w:rPr>
          <w:rFonts w:hint="eastAsia"/>
          <w:b w:val="0"/>
          <w:bCs w:val="0"/>
          <w:color w:val="auto"/>
          <w:highlight w:val="none"/>
          <w:lang w:val="en-US" w:eastAsia="zh-CN"/>
        </w:rPr>
        <w:t>坡头作为湛江城市扩容提质主战场，</w:t>
      </w:r>
      <w:r>
        <w:rPr>
          <w:rFonts w:hint="default"/>
          <w:color w:val="auto"/>
          <w:highlight w:val="none"/>
          <w:lang w:val="en-US" w:eastAsia="zh-CN"/>
        </w:rPr>
        <w:t>依托湛江湾实验室、广东医科大学等重大平台，把握湛江国家高新区海东园区建设战略契机，深入实施创新驱动发展战略。营造创新优良生态环境，引进</w:t>
      </w:r>
      <w:r>
        <w:rPr>
          <w:rFonts w:hint="eastAsia"/>
          <w:color w:val="auto"/>
          <w:highlight w:val="none"/>
          <w:lang w:val="en-US" w:eastAsia="zh-CN"/>
        </w:rPr>
        <w:t>各类</w:t>
      </w:r>
      <w:r>
        <w:rPr>
          <w:rFonts w:hint="default"/>
          <w:color w:val="auto"/>
          <w:highlight w:val="none"/>
          <w:lang w:val="en-US" w:eastAsia="zh-CN"/>
        </w:rPr>
        <w:t>创新人才，统筹推</w:t>
      </w:r>
      <w:r>
        <w:rPr>
          <w:rFonts w:hint="eastAsia" w:ascii="仿宋" w:hAnsi="仿宋" w:eastAsia="仿宋" w:cs="仿宋"/>
          <w:color w:val="auto"/>
          <w:highlight w:val="none"/>
          <w:lang w:val="en-US" w:eastAsia="zh-CN"/>
        </w:rPr>
        <w:t>进“一区多园”建</w:t>
      </w:r>
      <w:r>
        <w:rPr>
          <w:rFonts w:hint="default"/>
          <w:color w:val="auto"/>
          <w:highlight w:val="none"/>
          <w:lang w:val="en-US" w:eastAsia="zh-CN"/>
        </w:rPr>
        <w:t>设，全力打造坡</w:t>
      </w:r>
      <w:r>
        <w:rPr>
          <w:rFonts w:hint="eastAsia" w:ascii="仿宋" w:hAnsi="仿宋" w:eastAsia="仿宋" w:cs="仿宋"/>
          <w:color w:val="auto"/>
          <w:highlight w:val="none"/>
          <w:lang w:val="en-US" w:eastAsia="zh-CN"/>
        </w:rPr>
        <w:t>头“区域创新中心”</w:t>
      </w:r>
      <w:r>
        <w:rPr>
          <w:rFonts w:hint="default"/>
          <w:color w:val="auto"/>
          <w:highlight w:val="none"/>
          <w:lang w:val="en-US" w:eastAsia="zh-CN"/>
        </w:rPr>
        <w:t>品牌，推动高新区争创全国百强高新区，擦</w:t>
      </w:r>
      <w:r>
        <w:rPr>
          <w:rFonts w:hint="eastAsia" w:ascii="仿宋" w:hAnsi="仿宋" w:eastAsia="仿宋" w:cs="仿宋"/>
          <w:color w:val="auto"/>
          <w:highlight w:val="none"/>
          <w:lang w:val="en-US" w:eastAsia="zh-CN"/>
        </w:rPr>
        <w:t>亮“</w:t>
      </w:r>
      <w:r>
        <w:rPr>
          <w:rFonts w:hint="eastAsia" w:ascii="仿宋" w:hAnsi="仿宋" w:cs="仿宋"/>
          <w:color w:val="auto"/>
          <w:highlight w:val="none"/>
          <w:lang w:val="en-US" w:eastAsia="zh-CN"/>
        </w:rPr>
        <w:t>国家沿海经济带先行区科创中心</w:t>
      </w:r>
      <w:r>
        <w:rPr>
          <w:rFonts w:hint="eastAsia" w:ascii="仿宋" w:hAnsi="仿宋" w:eastAsia="仿宋" w:cs="仿宋"/>
          <w:color w:val="auto"/>
          <w:highlight w:val="none"/>
          <w:lang w:val="en-US" w:eastAsia="zh-CN"/>
        </w:rPr>
        <w:t>”品牌。</w:t>
      </w:r>
    </w:p>
    <w:p>
      <w:pPr>
        <w:numPr>
          <w:ilvl w:val="0"/>
          <w:numId w:val="0"/>
        </w:numPr>
        <w:bidi w:val="0"/>
        <w:ind w:firstLine="643" w:firstLineChars="200"/>
        <w:rPr>
          <w:rFonts w:hint="default"/>
          <w:color w:val="auto"/>
          <w:highlight w:val="none"/>
          <w:lang w:val="en-US" w:eastAsia="zh-CN"/>
        </w:rPr>
      </w:pPr>
      <w:r>
        <w:rPr>
          <w:rFonts w:hint="eastAsia"/>
          <w:b/>
          <w:bCs/>
          <w:color w:val="auto"/>
          <w:highlight w:val="none"/>
          <w:lang w:val="en-US" w:eastAsia="zh-CN"/>
        </w:rPr>
        <w:t>省域副中心城市核心城区。</w:t>
      </w:r>
      <w:r>
        <w:rPr>
          <w:rFonts w:hint="eastAsia"/>
          <w:color w:val="auto"/>
          <w:szCs w:val="22"/>
          <w:highlight w:val="none"/>
          <w:lang w:val="en-US" w:eastAsia="zh-CN"/>
        </w:rPr>
        <w:t>以海东新区起步区为核心，以海湾大桥、湛江内港湾为未来城市格局的横轴、纵轴，重点打造桥东片区、奥体片区、湛一中片区、高铁片区，形成“一核、两轴、多组团”的城市空</w:t>
      </w:r>
      <w:r>
        <w:rPr>
          <w:rFonts w:hint="eastAsia"/>
          <w:color w:val="auto"/>
          <w:highlight w:val="none"/>
        </w:rPr>
        <w:t>间布局。</w:t>
      </w:r>
      <w:r>
        <w:rPr>
          <w:rFonts w:hint="eastAsia" w:ascii="仿宋" w:hAnsi="仿宋" w:eastAsia="仿宋" w:cs="仿宋"/>
          <w:color w:val="auto"/>
          <w:highlight w:val="none"/>
          <w:lang w:val="en-US" w:eastAsia="zh-CN"/>
        </w:rPr>
        <w:t>加强</w:t>
      </w:r>
      <w:r>
        <w:rPr>
          <w:rFonts w:hint="eastAsia" w:ascii="Times New Roman" w:hAnsi="Times New Roman" w:cs="Times New Roman"/>
          <w:color w:val="auto"/>
          <w:highlight w:val="none"/>
          <w:lang w:val="en-US" w:eastAsia="zh-CN"/>
        </w:rPr>
        <w:t>TOD</w:t>
      </w:r>
      <w:r>
        <w:rPr>
          <w:rFonts w:hint="eastAsia" w:ascii="仿宋" w:hAnsi="仿宋" w:eastAsia="仿宋" w:cs="仿宋"/>
          <w:color w:val="auto"/>
          <w:highlight w:val="none"/>
          <w:lang w:val="en-US" w:eastAsia="zh-CN"/>
        </w:rPr>
        <w:t>交通基础设施建设，提升以“学位”为代表的教育水平，完善以“床位”为代表的医疗服务配套建设，为湛江钢铁、中科炼化、巴斯夫等投资超</w:t>
      </w:r>
      <w:r>
        <w:rPr>
          <w:rFonts w:hint="eastAsia" w:ascii="仿宋" w:hAnsi="仿宋" w:cs="仿宋"/>
          <w:color w:val="auto"/>
          <w:highlight w:val="none"/>
          <w:lang w:val="en-US" w:eastAsia="zh-CN"/>
        </w:rPr>
        <w:t>百</w:t>
      </w:r>
      <w:r>
        <w:rPr>
          <w:rFonts w:hint="eastAsia" w:ascii="仿宋" w:hAnsi="仿宋" w:eastAsia="仿宋" w:cs="仿宋"/>
          <w:color w:val="auto"/>
          <w:highlight w:val="none"/>
          <w:lang w:val="en-US" w:eastAsia="zh-CN"/>
        </w:rPr>
        <w:t>亿美元世界级产业</w:t>
      </w:r>
      <w:r>
        <w:rPr>
          <w:rFonts w:hint="eastAsia" w:ascii="仿宋" w:hAnsi="仿宋" w:cs="仿宋"/>
          <w:color w:val="auto"/>
          <w:highlight w:val="none"/>
          <w:lang w:val="en-US" w:eastAsia="zh-CN"/>
        </w:rPr>
        <w:t>基地</w:t>
      </w:r>
      <w:r>
        <w:rPr>
          <w:rFonts w:hint="eastAsia" w:ascii="仿宋" w:hAnsi="仿宋" w:eastAsia="仿宋" w:cs="仿宋"/>
          <w:color w:val="auto"/>
          <w:highlight w:val="none"/>
          <w:lang w:val="en-US" w:eastAsia="zh-CN"/>
        </w:rPr>
        <w:t>提供高品质生活</w:t>
      </w:r>
      <w:r>
        <w:rPr>
          <w:rFonts w:hint="eastAsia" w:ascii="仿宋" w:hAnsi="仿宋" w:cs="仿宋"/>
          <w:color w:val="auto"/>
          <w:highlight w:val="none"/>
          <w:lang w:val="en-US" w:eastAsia="zh-CN"/>
        </w:rPr>
        <w:t>配套设施</w:t>
      </w:r>
      <w:r>
        <w:rPr>
          <w:rFonts w:hint="default"/>
          <w:color w:val="auto"/>
          <w:highlight w:val="none"/>
          <w:lang w:val="en-US" w:eastAsia="zh-CN"/>
        </w:rPr>
        <w:t>，为创造国内领先的高技术园区提供优越条件。发挥海东新区国际合作重要门户、国家海洋战略重大平台、大西南出海主通道服务基地作用，打造成为粤西中心城市新兴载体、南亚热带生态海湾新城。</w:t>
      </w:r>
    </w:p>
    <w:p>
      <w:pPr>
        <w:numPr>
          <w:ilvl w:val="0"/>
          <w:numId w:val="0"/>
        </w:numPr>
        <w:bidi w:val="0"/>
        <w:ind w:firstLine="643" w:firstLineChars="200"/>
        <w:rPr>
          <w:rFonts w:hint="default"/>
          <w:color w:val="auto"/>
          <w:highlight w:val="none"/>
          <w:lang w:val="en-US" w:eastAsia="zh-CN"/>
        </w:rPr>
      </w:pPr>
      <w:r>
        <w:rPr>
          <w:rFonts w:hint="default"/>
          <w:b/>
          <w:bCs/>
          <w:color w:val="auto"/>
          <w:highlight w:val="none"/>
          <w:lang w:val="en-US" w:eastAsia="zh-CN"/>
        </w:rPr>
        <w:t>国家海洋休闲旅游示范中心</w:t>
      </w:r>
      <w:r>
        <w:rPr>
          <w:rFonts w:hint="eastAsia"/>
          <w:b/>
          <w:bCs/>
          <w:color w:val="auto"/>
          <w:highlight w:val="none"/>
          <w:lang w:val="en-US" w:eastAsia="zh-CN"/>
        </w:rPr>
        <w:t>。</w:t>
      </w:r>
      <w:r>
        <w:rPr>
          <w:rFonts w:hint="default"/>
          <w:color w:val="auto"/>
          <w:highlight w:val="none"/>
          <w:lang w:val="en-US" w:eastAsia="zh-CN"/>
        </w:rPr>
        <w:t>依托坡头地处湛江内湾、海岸线绵长的禀赋优势，打造高端邮轮旅游线路，把海东建成</w:t>
      </w:r>
      <w:r>
        <w:rPr>
          <w:rFonts w:hint="eastAsia" w:ascii="仿宋" w:hAnsi="仿宋" w:eastAsia="仿宋" w:cs="仿宋"/>
          <w:color w:val="auto"/>
          <w:highlight w:val="none"/>
          <w:lang w:val="en-US" w:eastAsia="zh-CN"/>
        </w:rPr>
        <w:t>对接“海南游”的始发</w:t>
      </w:r>
      <w:r>
        <w:rPr>
          <w:rFonts w:hint="default"/>
          <w:color w:val="auto"/>
          <w:highlight w:val="none"/>
          <w:lang w:val="en-US" w:eastAsia="zh-CN"/>
        </w:rPr>
        <w:t>站、桥头堡和聚散地。加</w:t>
      </w:r>
      <w:r>
        <w:rPr>
          <w:rFonts w:hint="eastAsia" w:ascii="仿宋" w:hAnsi="仿宋" w:eastAsia="仿宋" w:cs="仿宋"/>
          <w:color w:val="auto"/>
          <w:highlight w:val="none"/>
          <w:lang w:val="en-US" w:eastAsia="zh-CN"/>
        </w:rPr>
        <w:t>快</w:t>
      </w:r>
      <w:r>
        <w:rPr>
          <w:rFonts w:hint="eastAsia" w:ascii="仿宋" w:hAnsi="仿宋" w:cs="仿宋"/>
          <w:color w:val="auto"/>
          <w:highlight w:val="none"/>
          <w:lang w:val="en-US" w:eastAsia="zh-CN"/>
        </w:rPr>
        <w:t>建设</w:t>
      </w:r>
      <w:r>
        <w:rPr>
          <w:rFonts w:hint="eastAsia" w:ascii="仿宋" w:hAnsi="仿宋" w:eastAsia="仿宋" w:cs="仿宋"/>
          <w:color w:val="auto"/>
          <w:highlight w:val="none"/>
          <w:lang w:val="en-US" w:eastAsia="zh-CN"/>
        </w:rPr>
        <w:t>龙王湾湿地公园体验式景区，</w:t>
      </w:r>
      <w:r>
        <w:rPr>
          <w:rFonts w:hint="default" w:ascii="Times New Roman" w:hAnsi="Times New Roman" w:eastAsia="仿宋" w:cs="Times New Roman"/>
          <w:color w:val="auto"/>
          <w:highlight w:val="none"/>
          <w:lang w:val="en-US" w:eastAsia="zh-CN"/>
        </w:rPr>
        <w:t>将奥体中心片区</w:t>
      </w:r>
      <w:r>
        <w:rPr>
          <w:rFonts w:hint="eastAsia" w:cs="Times New Roman"/>
          <w:color w:val="auto"/>
          <w:highlight w:val="none"/>
          <w:lang w:val="en-US" w:eastAsia="zh-CN"/>
        </w:rPr>
        <w:t>打造</w:t>
      </w:r>
      <w:r>
        <w:rPr>
          <w:rFonts w:hint="default" w:ascii="Times New Roman" w:hAnsi="Times New Roman" w:eastAsia="仿宋" w:cs="Times New Roman"/>
          <w:color w:val="auto"/>
          <w:highlight w:val="none"/>
          <w:lang w:val="en-US" w:eastAsia="zh-CN"/>
        </w:rPr>
        <w:t>成为</w:t>
      </w:r>
      <w:r>
        <w:rPr>
          <w:rFonts w:hint="eastAsia" w:ascii="仿宋" w:hAnsi="仿宋" w:eastAsia="仿宋" w:cs="仿宋"/>
          <w:color w:val="auto"/>
          <w:highlight w:val="none"/>
          <w:lang w:val="en-US" w:eastAsia="zh-CN"/>
        </w:rPr>
        <w:t>“湛江名优产品永久展销中心”</w:t>
      </w:r>
      <w:r>
        <w:rPr>
          <w:rFonts w:hint="default" w:ascii="Times New Roman" w:hAnsi="Times New Roman" w:eastAsia="仿宋" w:cs="Times New Roman"/>
          <w:color w:val="auto"/>
          <w:highlight w:val="none"/>
          <w:lang w:val="en-US" w:eastAsia="zh-CN"/>
        </w:rPr>
        <w:t>、</w:t>
      </w:r>
      <w:r>
        <w:rPr>
          <w:rFonts w:hint="eastAsia" w:ascii="Times New Roman" w:hAnsi="Times New Roman" w:cs="Times New Roman"/>
          <w:color w:val="auto"/>
          <w:highlight w:val="none"/>
          <w:lang w:val="en-US" w:eastAsia="zh-CN"/>
        </w:rPr>
        <w:t>O2O</w:t>
      </w:r>
      <w:r>
        <w:rPr>
          <w:rFonts w:hint="default" w:ascii="Times New Roman" w:hAnsi="Times New Roman" w:eastAsia="仿宋" w:cs="Times New Roman"/>
          <w:color w:val="auto"/>
          <w:highlight w:val="none"/>
          <w:lang w:val="en-US" w:eastAsia="zh-CN"/>
        </w:rPr>
        <w:t>展</w:t>
      </w:r>
      <w:r>
        <w:rPr>
          <w:rFonts w:hint="eastAsia" w:ascii="仿宋" w:hAnsi="仿宋" w:eastAsia="仿宋" w:cs="仿宋"/>
          <w:color w:val="auto"/>
          <w:highlight w:val="none"/>
          <w:lang w:val="en-US" w:eastAsia="zh-CN"/>
        </w:rPr>
        <w:t>示店、土特产电商基地，打造集旅游观光、休闲、美食、购物、娱乐于一体的旅客集散中心。深入开发南三岛旅游资源，</w:t>
      </w:r>
      <w:r>
        <w:rPr>
          <w:rFonts w:hint="default"/>
          <w:color w:val="auto"/>
          <w:highlight w:val="none"/>
          <w:lang w:val="en-US" w:eastAsia="zh-CN"/>
        </w:rPr>
        <w:t>推动南三岛旅游示范区打造</w:t>
      </w:r>
      <w:r>
        <w:rPr>
          <w:rFonts w:hint="eastAsia" w:ascii="Times New Roman" w:hAnsi="Times New Roman"/>
          <w:color w:val="auto"/>
          <w:highlight w:val="none"/>
          <w:lang w:val="en-US" w:eastAsia="zh-CN"/>
        </w:rPr>
        <w:t>5A</w:t>
      </w:r>
      <w:r>
        <w:rPr>
          <w:rFonts w:hint="default"/>
          <w:color w:val="auto"/>
          <w:highlight w:val="none"/>
          <w:lang w:val="en-US" w:eastAsia="zh-CN"/>
        </w:rPr>
        <w:t>级滨海旅游区，加快推进南调河亚热带风情街项目建设，建成集旅游观光、滨海度假、康体娱乐、文化休闲、海鲜美食、购物于一体多元化滨海旅游风情街（河），打造粤西地区</w:t>
      </w:r>
      <w:r>
        <w:rPr>
          <w:rFonts w:hint="eastAsia"/>
          <w:color w:val="auto"/>
          <w:highlight w:val="none"/>
          <w:lang w:val="en-US" w:eastAsia="zh-CN"/>
        </w:rPr>
        <w:t>特色</w:t>
      </w:r>
      <w:r>
        <w:rPr>
          <w:rFonts w:hint="default"/>
          <w:color w:val="auto"/>
          <w:highlight w:val="none"/>
          <w:lang w:val="en-US" w:eastAsia="zh-CN"/>
        </w:rPr>
        <w:t>休闲旅游示范景点</w:t>
      </w:r>
      <w:r>
        <w:rPr>
          <w:rFonts w:hint="eastAsia"/>
          <w:color w:val="auto"/>
          <w:highlight w:val="none"/>
          <w:lang w:val="en-US" w:eastAsia="zh-CN"/>
        </w:rPr>
        <w:t>、国内</w:t>
      </w:r>
      <w:r>
        <w:rPr>
          <w:rFonts w:hint="default"/>
          <w:color w:val="auto"/>
          <w:highlight w:val="none"/>
          <w:lang w:val="en-US" w:eastAsia="zh-CN"/>
        </w:rPr>
        <w:t>一流滨海休闲度假胜地</w:t>
      </w:r>
      <w:r>
        <w:rPr>
          <w:rFonts w:hint="eastAsia"/>
          <w:color w:val="auto"/>
          <w:highlight w:val="none"/>
          <w:lang w:val="en-US" w:eastAsia="zh-CN"/>
        </w:rPr>
        <w:t>和</w:t>
      </w:r>
      <w:r>
        <w:rPr>
          <w:rFonts w:hint="default"/>
          <w:color w:val="auto"/>
          <w:highlight w:val="none"/>
          <w:lang w:val="en-US" w:eastAsia="zh-CN"/>
        </w:rPr>
        <w:t>中国</w:t>
      </w:r>
      <w:r>
        <w:rPr>
          <w:rFonts w:hint="eastAsia"/>
          <w:color w:val="auto"/>
          <w:highlight w:val="none"/>
          <w:lang w:val="en-US" w:eastAsia="zh-CN"/>
        </w:rPr>
        <w:t>知名</w:t>
      </w:r>
      <w:r>
        <w:rPr>
          <w:rFonts w:hint="default"/>
          <w:color w:val="auto"/>
          <w:highlight w:val="none"/>
          <w:lang w:val="en-US" w:eastAsia="zh-CN"/>
        </w:rPr>
        <w:t>旅游目的地。</w:t>
      </w:r>
    </w:p>
    <w:p>
      <w:pPr>
        <w:numPr>
          <w:ilvl w:val="0"/>
          <w:numId w:val="0"/>
        </w:numPr>
        <w:bidi w:val="0"/>
        <w:ind w:firstLine="643" w:firstLineChars="200"/>
        <w:rPr>
          <w:rFonts w:hint="default"/>
          <w:color w:val="auto"/>
          <w:highlight w:val="none"/>
          <w:lang w:val="en-US" w:eastAsia="zh-CN"/>
        </w:rPr>
      </w:pPr>
      <w:r>
        <w:rPr>
          <w:rFonts w:hint="eastAsia"/>
          <w:b/>
          <w:bCs/>
          <w:color w:val="auto"/>
          <w:highlight w:val="none"/>
          <w:lang w:val="en-US" w:eastAsia="zh-CN"/>
        </w:rPr>
        <w:t>湛江</w:t>
      </w:r>
      <w:r>
        <w:rPr>
          <w:rFonts w:hint="default"/>
          <w:b/>
          <w:bCs/>
          <w:color w:val="auto"/>
          <w:highlight w:val="none"/>
          <w:lang w:val="en-US" w:eastAsia="zh-CN"/>
        </w:rPr>
        <w:t>国际会展贸易中心</w:t>
      </w:r>
      <w:r>
        <w:rPr>
          <w:rFonts w:hint="eastAsia"/>
          <w:b/>
          <w:bCs/>
          <w:color w:val="auto"/>
          <w:highlight w:val="none"/>
          <w:lang w:val="en-US" w:eastAsia="zh-CN"/>
        </w:rPr>
        <w:t>。</w:t>
      </w:r>
      <w:r>
        <w:rPr>
          <w:rFonts w:hint="default"/>
          <w:color w:val="auto"/>
          <w:highlight w:val="none"/>
          <w:lang w:val="en-US" w:eastAsia="zh-CN"/>
        </w:rPr>
        <w:t>依托奥体中心、会展中心综合场馆等平台，以及水博会、装备博览会等大型展会，借助海东新区商贸物流、文化创意、康体休闲等产业集聚优势，优化整合湛江市会展资源，聚力打造湛江名优产品（土特产）永久展销中心</w:t>
      </w:r>
      <w:r>
        <w:rPr>
          <w:rFonts w:hint="eastAsia"/>
          <w:color w:val="auto"/>
          <w:highlight w:val="none"/>
          <w:lang w:val="en-US" w:eastAsia="zh-CN"/>
        </w:rPr>
        <w:t>。</w:t>
      </w:r>
      <w:r>
        <w:rPr>
          <w:rFonts w:hint="default"/>
          <w:color w:val="auto"/>
          <w:highlight w:val="none"/>
          <w:lang w:val="en-US" w:eastAsia="zh-CN"/>
        </w:rPr>
        <w:t>加快推进国际性商务会展功能区建设</w:t>
      </w:r>
      <w:r>
        <w:rPr>
          <w:rFonts w:hint="eastAsia"/>
          <w:color w:val="auto"/>
          <w:highlight w:val="none"/>
          <w:lang w:val="en-US" w:eastAsia="zh-CN"/>
        </w:rPr>
        <w:t>，</w:t>
      </w:r>
      <w:r>
        <w:rPr>
          <w:rFonts w:hint="default"/>
          <w:color w:val="auto"/>
          <w:highlight w:val="none"/>
          <w:lang w:val="en-US" w:eastAsia="zh-CN"/>
        </w:rPr>
        <w:t>重点打造</w:t>
      </w:r>
      <w:r>
        <w:rPr>
          <w:rFonts w:hint="eastAsia"/>
          <w:color w:val="auto"/>
          <w:highlight w:val="none"/>
          <w:lang w:val="en-US" w:eastAsia="zh-CN"/>
        </w:rPr>
        <w:t>商贸总部经济</w:t>
      </w:r>
      <w:r>
        <w:rPr>
          <w:rFonts w:hint="default"/>
          <w:color w:val="auto"/>
          <w:highlight w:val="none"/>
          <w:lang w:val="en-US" w:eastAsia="zh-CN"/>
        </w:rPr>
        <w:t>、</w:t>
      </w:r>
      <w:r>
        <w:rPr>
          <w:rFonts w:hint="eastAsia"/>
          <w:color w:val="auto"/>
          <w:highlight w:val="none"/>
          <w:lang w:val="en-US" w:eastAsia="zh-CN"/>
        </w:rPr>
        <w:t>工业</w:t>
      </w:r>
      <w:r>
        <w:rPr>
          <w:rFonts w:hint="default"/>
          <w:color w:val="auto"/>
          <w:highlight w:val="none"/>
          <w:lang w:val="en-US" w:eastAsia="zh-CN"/>
        </w:rPr>
        <w:t>贸易采购交易市场，建成规范有序、辐射力强的现代化大型商务中心、会展中心和要素交易中心。积极引进国内外知名会展公司落户海东新区，</w:t>
      </w:r>
      <w:r>
        <w:rPr>
          <w:rFonts w:hint="eastAsia"/>
          <w:color w:val="auto"/>
          <w:highlight w:val="none"/>
          <w:lang w:val="en-US" w:eastAsia="zh-CN"/>
        </w:rPr>
        <w:t>加强</w:t>
      </w:r>
      <w:r>
        <w:rPr>
          <w:rFonts w:hint="default"/>
          <w:color w:val="auto"/>
          <w:highlight w:val="none"/>
          <w:lang w:val="en-US" w:eastAsia="zh-CN"/>
        </w:rPr>
        <w:t>培育自创品牌专业展会，逐步形成种类齐全、分布广泛、功能完善的现代会展商务服务体系。</w:t>
      </w:r>
    </w:p>
    <w:p>
      <w:pPr>
        <w:pStyle w:val="4"/>
        <w:spacing w:before="62" w:after="62"/>
        <w:ind w:firstLine="0"/>
        <w:jc w:val="center"/>
        <w:rPr>
          <w:rFonts w:hint="default" w:ascii="宋体" w:hAnsi="宋体"/>
          <w:color w:val="auto"/>
          <w:highlight w:val="none"/>
        </w:rPr>
      </w:pPr>
      <w:bookmarkStart w:id="62" w:name="_Toc9210"/>
      <w:r>
        <w:rPr>
          <w:rFonts w:hint="eastAsia" w:ascii="宋体" w:hAnsi="宋体"/>
          <w:color w:val="auto"/>
          <w:highlight w:val="none"/>
          <w:lang w:val="en-US" w:eastAsia="zh-CN"/>
        </w:rPr>
        <w:t xml:space="preserve">第四节 </w:t>
      </w:r>
      <w:r>
        <w:rPr>
          <w:rFonts w:hint="default" w:ascii="宋体" w:hAnsi="宋体"/>
          <w:color w:val="auto"/>
          <w:highlight w:val="none"/>
        </w:rPr>
        <w:t>发展目标</w:t>
      </w:r>
      <w:bookmarkEnd w:id="56"/>
      <w:bookmarkEnd w:id="57"/>
      <w:bookmarkEnd w:id="58"/>
      <w:bookmarkEnd w:id="59"/>
      <w:bookmarkEnd w:id="60"/>
      <w:bookmarkEnd w:id="61"/>
      <w:bookmarkEnd w:id="62"/>
    </w:p>
    <w:p>
      <w:pPr>
        <w:ind w:firstLine="640"/>
        <w:rPr>
          <w:rFonts w:hint="eastAsia" w:eastAsia="仿宋"/>
          <w:color w:val="auto"/>
          <w:highlight w:val="none"/>
          <w:lang w:val="en-US" w:eastAsia="zh-CN"/>
        </w:rPr>
      </w:pPr>
      <w:r>
        <w:rPr>
          <w:rFonts w:hint="eastAsia"/>
          <w:color w:val="auto"/>
          <w:highlight w:val="none"/>
        </w:rPr>
        <w:t>党中央对实现第二个百年奋斗目标作出分两个阶段推进的战略安排，习近平总书记寄望广东在全面建设社会主义现代化国家新征程中走在全国前列，明确了广东新发展阶段的总定位总目标，也为</w:t>
      </w:r>
      <w:r>
        <w:rPr>
          <w:rFonts w:hint="eastAsia"/>
          <w:color w:val="auto"/>
          <w:highlight w:val="none"/>
          <w:lang w:val="en-US" w:eastAsia="zh-CN"/>
        </w:rPr>
        <w:t>坡头</w:t>
      </w:r>
      <w:r>
        <w:rPr>
          <w:rFonts w:hint="eastAsia"/>
          <w:color w:val="auto"/>
          <w:highlight w:val="none"/>
        </w:rPr>
        <w:t>的发展指明了前进方向、提供了根本遵循。展望到二〇三五年，坡头将与全国同步基本实现社会主义现代化，经济实力、科技实力、综合竞争力大幅跃升，人均地区生产总值达到更高水平，基本建成湛江创新驱动发展示范区和高质量发展先行区；</w:t>
      </w:r>
      <w:r>
        <w:rPr>
          <w:rFonts w:hint="eastAsia"/>
          <w:b/>
          <w:bCs/>
          <w:color w:val="auto"/>
          <w:highlight w:val="none"/>
        </w:rPr>
        <w:t>创新发展实现重大突破，</w:t>
      </w:r>
      <w:r>
        <w:rPr>
          <w:rFonts w:hint="eastAsia"/>
          <w:b w:val="0"/>
          <w:bCs w:val="0"/>
          <w:color w:val="auto"/>
          <w:highlight w:val="none"/>
        </w:rPr>
        <w:t>建成科技创新强区，</w:t>
      </w:r>
      <w:r>
        <w:rPr>
          <w:rFonts w:hint="eastAsia"/>
          <w:color w:val="auto"/>
          <w:highlight w:val="none"/>
        </w:rPr>
        <w:t>打造成为具有区域影响力的科技创新中心；</w:t>
      </w:r>
      <w:r>
        <w:rPr>
          <w:rFonts w:hint="eastAsia"/>
          <w:b/>
          <w:bCs/>
          <w:color w:val="auto"/>
          <w:highlight w:val="none"/>
        </w:rPr>
        <w:t>高质量发展取得显著突破，</w:t>
      </w:r>
      <w:r>
        <w:rPr>
          <w:rFonts w:hint="eastAsia"/>
          <w:color w:val="auto"/>
          <w:highlight w:val="none"/>
        </w:rPr>
        <w:t>基本实现新型工业化、信息化、城镇化、农业现代化，建成现代化经济体系，建成制造强区；</w:t>
      </w:r>
      <w:r>
        <w:rPr>
          <w:rFonts w:hint="eastAsia"/>
          <w:b/>
          <w:bCs/>
          <w:color w:val="auto"/>
          <w:highlight w:val="none"/>
        </w:rPr>
        <w:t>城市发展能级显著提升，</w:t>
      </w:r>
      <w:r>
        <w:rPr>
          <w:rFonts w:hint="eastAsia"/>
          <w:color w:val="auto"/>
          <w:highlight w:val="none"/>
        </w:rPr>
        <w:t>海湾东西两岸开发连为一体，宜居宜业宜游海湾的现代化海湾新城基本建成，海东新区承载能力辐射带动能力不断提升；</w:t>
      </w:r>
      <w:r>
        <w:rPr>
          <w:rFonts w:hint="eastAsia"/>
          <w:b/>
          <w:bCs/>
          <w:color w:val="auto"/>
          <w:highlight w:val="none"/>
        </w:rPr>
        <w:t>综合交通枢纽地位更加突出，</w:t>
      </w:r>
      <w:r>
        <w:rPr>
          <w:rFonts w:hint="eastAsia"/>
          <w:color w:val="auto"/>
          <w:highlight w:val="none"/>
        </w:rPr>
        <w:t>沿海经济带西翼高质量发展的中心地位进一步提升</w:t>
      </w:r>
      <w:r>
        <w:rPr>
          <w:rFonts w:hint="eastAsia"/>
          <w:color w:val="auto"/>
          <w:highlight w:val="none"/>
          <w:lang w:eastAsia="zh-CN"/>
        </w:rPr>
        <w:t>；</w:t>
      </w:r>
      <w:r>
        <w:rPr>
          <w:rFonts w:hint="eastAsia"/>
          <w:b/>
          <w:bCs/>
          <w:color w:val="auto"/>
          <w:highlight w:val="none"/>
        </w:rPr>
        <w:t>精神文明建设卓有成效，</w:t>
      </w:r>
      <w:r>
        <w:rPr>
          <w:rFonts w:hint="eastAsia"/>
          <w:color w:val="auto"/>
          <w:highlight w:val="none"/>
        </w:rPr>
        <w:t>文化事业和文化产业繁荣发展，文化软实力显著增强，社会文明程度不断提高</w:t>
      </w:r>
      <w:r>
        <w:rPr>
          <w:rFonts w:hint="eastAsia"/>
          <w:color w:val="auto"/>
          <w:highlight w:val="none"/>
          <w:lang w:eastAsia="zh-CN"/>
        </w:rPr>
        <w:t>；</w:t>
      </w:r>
      <w:r>
        <w:rPr>
          <w:rFonts w:hint="eastAsia"/>
          <w:b/>
          <w:bCs/>
          <w:color w:val="auto"/>
          <w:highlight w:val="none"/>
        </w:rPr>
        <w:t>生态环境质量保持优良，</w:t>
      </w:r>
      <w:r>
        <w:rPr>
          <w:rFonts w:hint="eastAsia"/>
          <w:color w:val="auto"/>
          <w:highlight w:val="none"/>
        </w:rPr>
        <w:t>广泛形成绿色生产生活方式，生态空间布局不断优化，建成海洋带综合保护与利用示范区</w:t>
      </w:r>
      <w:r>
        <w:rPr>
          <w:rFonts w:hint="eastAsia"/>
          <w:color w:val="auto"/>
          <w:highlight w:val="none"/>
          <w:lang w:eastAsia="zh-CN"/>
        </w:rPr>
        <w:t>；</w:t>
      </w:r>
      <w:r>
        <w:rPr>
          <w:rFonts w:hint="eastAsia"/>
          <w:b/>
          <w:bCs/>
          <w:color w:val="auto"/>
          <w:highlight w:val="none"/>
        </w:rPr>
        <w:t>基本实现国家治理体系和治理能力现代化，</w:t>
      </w:r>
      <w:r>
        <w:rPr>
          <w:rFonts w:hint="eastAsia"/>
          <w:color w:val="auto"/>
          <w:highlight w:val="none"/>
        </w:rPr>
        <w:t>人民平等参与、平等发展权利得到充分保障，基本建成法治坡头、法治政府、法治社会</w:t>
      </w:r>
      <w:r>
        <w:rPr>
          <w:rFonts w:hint="eastAsia"/>
          <w:color w:val="auto"/>
          <w:highlight w:val="none"/>
          <w:lang w:eastAsia="zh-CN"/>
        </w:rPr>
        <w:t>；</w:t>
      </w:r>
      <w:r>
        <w:rPr>
          <w:rFonts w:hint="eastAsia"/>
          <w:b/>
          <w:bCs/>
          <w:color w:val="auto"/>
          <w:highlight w:val="none"/>
        </w:rPr>
        <w:t>对外开放形成新格局，</w:t>
      </w:r>
      <w:r>
        <w:rPr>
          <w:rFonts w:hint="eastAsia"/>
          <w:color w:val="auto"/>
          <w:highlight w:val="none"/>
        </w:rPr>
        <w:t>国家重大战略联动发展连接和支撑作用进一步彰显，人民生活更加美好，基本公共服务实现均等化，城乡区域发展差距和居民生活水平差距显著缩小</w:t>
      </w:r>
      <w:r>
        <w:rPr>
          <w:rFonts w:hint="eastAsia"/>
          <w:color w:val="auto"/>
          <w:highlight w:val="none"/>
          <w:lang w:eastAsia="zh-CN"/>
        </w:rPr>
        <w:t>；</w:t>
      </w:r>
      <w:r>
        <w:rPr>
          <w:rFonts w:hint="eastAsia"/>
          <w:b/>
          <w:bCs/>
          <w:color w:val="auto"/>
          <w:highlight w:val="none"/>
        </w:rPr>
        <w:t>平安坡头建设达到更高水平</w:t>
      </w:r>
      <w:r>
        <w:rPr>
          <w:rFonts w:hint="eastAsia"/>
          <w:color w:val="auto"/>
          <w:highlight w:val="none"/>
        </w:rPr>
        <w:t>，人的全面发展、全体人民共同富裕取得更为明显的实质性进展。</w:t>
      </w:r>
    </w:p>
    <w:p>
      <w:pPr>
        <w:ind w:firstLine="640"/>
        <w:rPr>
          <w:color w:val="auto"/>
          <w:highlight w:val="none"/>
        </w:rPr>
      </w:pPr>
      <w:r>
        <w:rPr>
          <w:color w:val="auto"/>
          <w:highlight w:val="none"/>
        </w:rPr>
        <w:t>锚定二〇三五年远景目标，结合国内外发展环境、国家和省、市的发展战略以及坡头的发展新阶段，坚持目标导向和问题导向相结合，坚持守正和创新相统一，促进经济结构更加优化，产业核心竞争力显著增强，创新能力不断提升，城乡建设取得新进展，社会文明和社会治理现代化取得重要成果，民生福祉全面进步。</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时期经济社会发展要努力实现以下主要目标。</w:t>
      </w:r>
    </w:p>
    <w:p>
      <w:pPr>
        <w:rPr>
          <w:color w:val="auto"/>
          <w:highlight w:val="none"/>
        </w:rPr>
      </w:pPr>
      <w:r>
        <w:rPr>
          <w:b/>
          <w:bCs/>
          <w:color w:val="auto"/>
          <w:highlight w:val="none"/>
        </w:rPr>
        <w:t>——</w:t>
      </w:r>
      <w:r>
        <w:rPr>
          <w:rFonts w:hint="eastAsia"/>
          <w:b/>
          <w:bCs/>
          <w:color w:val="auto"/>
          <w:highlight w:val="none"/>
        </w:rPr>
        <w:t>经济实力进一步提升</w:t>
      </w:r>
      <w:r>
        <w:rPr>
          <w:b/>
          <w:bCs/>
          <w:color w:val="auto"/>
          <w:highlight w:val="none"/>
        </w:rPr>
        <w:t>。</w:t>
      </w:r>
      <w:r>
        <w:rPr>
          <w:color w:val="auto"/>
          <w:highlight w:val="none"/>
        </w:rPr>
        <w:t>经济发展实现跨越提升，到</w:t>
      </w:r>
      <w:r>
        <w:rPr>
          <w:rFonts w:hint="eastAsia" w:ascii="Times New Roman" w:hAnsi="Times New Roman"/>
          <w:color w:val="auto"/>
          <w:highlight w:val="none"/>
          <w:lang w:eastAsia="zh-CN"/>
        </w:rPr>
        <w:t>2025</w:t>
      </w:r>
      <w:r>
        <w:rPr>
          <w:color w:val="auto"/>
          <w:highlight w:val="none"/>
        </w:rPr>
        <w:t>年，全区地区生产总值预计达到</w:t>
      </w:r>
      <w:r>
        <w:rPr>
          <w:rFonts w:hint="eastAsia" w:ascii="Times New Roman" w:hAnsi="Times New Roman"/>
          <w:color w:val="auto"/>
          <w:highlight w:val="none"/>
          <w:lang w:val="en-US" w:eastAsia="zh-CN"/>
        </w:rPr>
        <w:t>486</w:t>
      </w:r>
      <w:r>
        <w:rPr>
          <w:color w:val="auto"/>
          <w:highlight w:val="none"/>
        </w:rPr>
        <w:t>亿元左右，年均增长</w:t>
      </w:r>
      <w:r>
        <w:rPr>
          <w:rFonts w:hint="eastAsia" w:ascii="Times New Roman" w:hAnsi="Times New Roman"/>
          <w:color w:val="auto"/>
          <w:highlight w:val="none"/>
          <w:lang w:val="en-US" w:eastAsia="zh-CN"/>
        </w:rPr>
        <w:t>7.5</w:t>
      </w:r>
      <w:r>
        <w:rPr>
          <w:rFonts w:hint="eastAsia" w:ascii="Times New Roman" w:hAnsi="Times New Roman"/>
          <w:color w:val="auto"/>
          <w:highlight w:val="none"/>
          <w:lang w:eastAsia="zh-CN"/>
        </w:rPr>
        <w:t>%</w:t>
      </w:r>
      <w:r>
        <w:rPr>
          <w:color w:val="auto"/>
          <w:highlight w:val="none"/>
        </w:rPr>
        <w:t>左右；</w:t>
      </w:r>
      <w:r>
        <w:rPr>
          <w:rFonts w:hint="eastAsia"/>
          <w:color w:val="auto"/>
          <w:highlight w:val="none"/>
          <w:lang w:val="en-US" w:eastAsia="zh-CN"/>
        </w:rPr>
        <w:t>固定投资再上新台阶，</w:t>
      </w:r>
      <w:r>
        <w:rPr>
          <w:color w:val="auto"/>
          <w:highlight w:val="none"/>
        </w:rPr>
        <w:t>重大项目有序推进，累计完成固定资产投资</w:t>
      </w:r>
      <w:r>
        <w:rPr>
          <w:rFonts w:hint="eastAsia" w:ascii="Times New Roman" w:hAnsi="Times New Roman"/>
          <w:color w:val="auto"/>
          <w:szCs w:val="22"/>
          <w:highlight w:val="none"/>
          <w:lang w:val="en-US" w:eastAsia="zh-CN"/>
        </w:rPr>
        <w:t>800</w:t>
      </w:r>
      <w:r>
        <w:rPr>
          <w:rFonts w:hint="eastAsia"/>
          <w:color w:val="auto"/>
          <w:szCs w:val="22"/>
          <w:highlight w:val="none"/>
        </w:rPr>
        <w:t>亿元</w:t>
      </w:r>
      <w:r>
        <w:rPr>
          <w:color w:val="auto"/>
          <w:highlight w:val="none"/>
        </w:rPr>
        <w:t>；</w:t>
      </w:r>
      <w:r>
        <w:rPr>
          <w:rFonts w:hint="eastAsia"/>
          <w:color w:val="auto"/>
          <w:highlight w:val="none"/>
        </w:rPr>
        <w:t>创新驱动成为经济发展的新动能，创新氛围和环境更加优化，对外经济进一步拓展</w:t>
      </w:r>
      <w:r>
        <w:rPr>
          <w:rFonts w:hint="eastAsia"/>
          <w:color w:val="auto"/>
          <w:highlight w:val="none"/>
          <w:lang w:eastAsia="zh-CN"/>
        </w:rPr>
        <w:t>；</w:t>
      </w:r>
      <w:r>
        <w:rPr>
          <w:color w:val="auto"/>
          <w:highlight w:val="none"/>
        </w:rPr>
        <w:t>市场保持繁荣，对外经济进一步拓展。</w:t>
      </w:r>
    </w:p>
    <w:p>
      <w:pPr>
        <w:rPr>
          <w:color w:val="auto"/>
          <w:highlight w:val="none"/>
        </w:rPr>
      </w:pPr>
      <w:r>
        <w:rPr>
          <w:b/>
          <w:bCs/>
          <w:color w:val="auto"/>
          <w:highlight w:val="none"/>
        </w:rPr>
        <w:t>——</w:t>
      </w:r>
      <w:r>
        <w:rPr>
          <w:rFonts w:hint="eastAsia"/>
          <w:b/>
          <w:bCs/>
          <w:color w:val="auto"/>
          <w:highlight w:val="none"/>
        </w:rPr>
        <w:t>产业建立新体系</w:t>
      </w:r>
      <w:r>
        <w:rPr>
          <w:b/>
          <w:bCs/>
          <w:color w:val="auto"/>
          <w:highlight w:val="none"/>
        </w:rPr>
        <w:t>。</w:t>
      </w:r>
      <w:r>
        <w:rPr>
          <w:color w:val="auto"/>
          <w:highlight w:val="none"/>
        </w:rPr>
        <w:t>供给侧结构性改革攻坚和产业基础高级化发展取得突破性进展，现代服务业发展水平不断提高</w:t>
      </w:r>
      <w:r>
        <w:rPr>
          <w:rFonts w:hint="eastAsia"/>
          <w:color w:val="auto"/>
          <w:highlight w:val="none"/>
          <w:lang w:eastAsia="zh-CN"/>
        </w:rPr>
        <w:t>，</w:t>
      </w:r>
      <w:r>
        <w:rPr>
          <w:rFonts w:hint="eastAsia"/>
          <w:color w:val="auto"/>
          <w:highlight w:val="none"/>
        </w:rPr>
        <w:t>经济结构更加优化，产业基础高级化和产业链现代化水平明显提高，“医”“海”产业成为战略支撑产业，先进制造业实现重大突破</w:t>
      </w:r>
      <w:r>
        <w:rPr>
          <w:color w:val="auto"/>
          <w:highlight w:val="none"/>
        </w:rPr>
        <w:t>形成新的产业体系。</w:t>
      </w:r>
      <w:r>
        <w:rPr>
          <w:rFonts w:hint="eastAsia"/>
          <w:color w:val="auto"/>
          <w:highlight w:val="none"/>
        </w:rPr>
        <w:t>建成湛江总部经济、上市公司聚集地。湛江高新区全面建设，“一区多园”统筹协同发展机制逐步完善。</w:t>
      </w:r>
      <w:r>
        <w:rPr>
          <w:color w:val="auto"/>
          <w:highlight w:val="none"/>
        </w:rPr>
        <w:t>提升创新发展内动力，到</w:t>
      </w:r>
      <w:r>
        <w:rPr>
          <w:rFonts w:hint="eastAsia" w:ascii="Times New Roman" w:hAnsi="Times New Roman"/>
          <w:color w:val="auto"/>
          <w:highlight w:val="none"/>
          <w:lang w:eastAsia="zh-CN"/>
        </w:rPr>
        <w:t>2025</w:t>
      </w:r>
      <w:r>
        <w:rPr>
          <w:color w:val="auto"/>
          <w:highlight w:val="none"/>
        </w:rPr>
        <w:t>年，高新技术企业数达</w:t>
      </w:r>
      <w:r>
        <w:rPr>
          <w:rFonts w:hint="eastAsia"/>
          <w:color w:val="auto"/>
          <w:highlight w:val="none"/>
          <w:lang w:val="en-US" w:eastAsia="zh-CN"/>
        </w:rPr>
        <w:t>5</w:t>
      </w:r>
      <w:r>
        <w:rPr>
          <w:rFonts w:hint="eastAsia" w:ascii="Times New Roman" w:hAnsi="Times New Roman"/>
          <w:color w:val="auto"/>
          <w:highlight w:val="none"/>
          <w:lang w:val="en-US" w:eastAsia="zh-CN"/>
        </w:rPr>
        <w:t>0</w:t>
      </w:r>
      <w:r>
        <w:rPr>
          <w:color w:val="auto"/>
          <w:highlight w:val="none"/>
        </w:rPr>
        <w:t>家左右，成为创新型发展</w:t>
      </w:r>
      <w:r>
        <w:rPr>
          <w:rFonts w:hint="eastAsia"/>
          <w:color w:val="auto"/>
          <w:highlight w:val="none"/>
          <w:lang w:val="en-US" w:eastAsia="zh-CN"/>
        </w:rPr>
        <w:t>先行</w:t>
      </w:r>
      <w:r>
        <w:rPr>
          <w:color w:val="auto"/>
          <w:highlight w:val="none"/>
        </w:rPr>
        <w:t>区。</w:t>
      </w:r>
      <w:r>
        <w:rPr>
          <w:rFonts w:hint="eastAsia"/>
          <w:color w:val="auto"/>
          <w:highlight w:val="none"/>
        </w:rPr>
        <w:t>湛江高新区在全国国家高新区中的综合排名进入前</w:t>
      </w:r>
      <w:r>
        <w:rPr>
          <w:rFonts w:hint="eastAsia" w:ascii="Times New Roman" w:hAnsi="Times New Roman"/>
          <w:color w:val="auto"/>
          <w:highlight w:val="none"/>
          <w:lang w:eastAsia="zh-CN"/>
        </w:rPr>
        <w:t>100</w:t>
      </w:r>
      <w:r>
        <w:rPr>
          <w:rFonts w:hint="eastAsia"/>
          <w:color w:val="auto"/>
          <w:highlight w:val="none"/>
        </w:rPr>
        <w:t>名。</w:t>
      </w:r>
    </w:p>
    <w:p>
      <w:pPr>
        <w:keepNext w:val="0"/>
        <w:keepLines w:val="0"/>
        <w:pageBreakBefore w:val="0"/>
        <w:widowControl w:val="0"/>
        <w:kinsoku/>
        <w:wordWrap/>
        <w:overflowPunct w:val="0"/>
        <w:topLinePunct w:val="0"/>
        <w:autoSpaceDE/>
        <w:autoSpaceDN/>
        <w:bidi w:val="0"/>
        <w:adjustRightInd/>
        <w:snapToGrid/>
        <w:spacing w:line="360" w:lineRule="auto"/>
        <w:ind w:firstLine="643" w:firstLineChars="200"/>
        <w:textAlignment w:val="auto"/>
        <w:rPr>
          <w:rFonts w:hint="eastAsia" w:eastAsia="仿宋"/>
          <w:color w:val="auto"/>
          <w:highlight w:val="none"/>
          <w:lang w:eastAsia="zh-CN"/>
        </w:rPr>
      </w:pPr>
      <w:r>
        <w:rPr>
          <w:b/>
          <w:bCs/>
          <w:color w:val="auto"/>
          <w:highlight w:val="none"/>
        </w:rPr>
        <w:t>——</w:t>
      </w:r>
      <w:r>
        <w:rPr>
          <w:rFonts w:hint="eastAsia"/>
          <w:b/>
          <w:bCs/>
          <w:color w:val="auto"/>
          <w:highlight w:val="none"/>
        </w:rPr>
        <w:t>民生福祉不断增进</w:t>
      </w:r>
      <w:r>
        <w:rPr>
          <w:b/>
          <w:bCs/>
          <w:color w:val="auto"/>
          <w:highlight w:val="none"/>
        </w:rPr>
        <w:t>。</w:t>
      </w:r>
      <w:r>
        <w:rPr>
          <w:color w:val="auto"/>
          <w:highlight w:val="none"/>
        </w:rPr>
        <w:t>人民生活水平公共服务质量全面提高，实现更加充分更高质量就业，居民收入增长和经济增长基本同步；分配结构明显改善，基本公共服务均等化水平明显提高，全民受教育程度不断提升，多层次社会保障体系更加健全</w:t>
      </w:r>
      <w:r>
        <w:rPr>
          <w:rFonts w:hint="eastAsia"/>
          <w:color w:val="auto"/>
          <w:highlight w:val="none"/>
          <w:lang w:eastAsia="zh-CN"/>
        </w:rPr>
        <w:t>；全力打造医疗保健中心，推进区属医院特色门诊和托管改革，实现以“治病为中心”转向以“健康为中心”；</w:t>
      </w:r>
      <w:r>
        <w:rPr>
          <w:color w:val="auto"/>
          <w:highlight w:val="none"/>
        </w:rPr>
        <w:t>脱贫攻坚成果巩固拓展，乡村振兴战略全面推进</w:t>
      </w:r>
      <w:r>
        <w:rPr>
          <w:rFonts w:hint="eastAsia"/>
          <w:color w:val="auto"/>
          <w:highlight w:val="none"/>
          <w:lang w:eastAsia="zh-CN"/>
        </w:rPr>
        <w:t>，</w:t>
      </w:r>
      <w:r>
        <w:rPr>
          <w:rFonts w:hint="eastAsia"/>
          <w:color w:val="auto"/>
          <w:szCs w:val="22"/>
          <w:highlight w:val="none"/>
        </w:rPr>
        <w:t>人民群众的获得感、幸福感、安全感进一步增强。</w:t>
      </w:r>
      <w:r>
        <w:rPr>
          <w:color w:val="auto"/>
          <w:highlight w:val="none"/>
        </w:rPr>
        <w:t>到</w:t>
      </w:r>
      <w:r>
        <w:rPr>
          <w:rFonts w:hint="eastAsia" w:ascii="Times New Roman" w:hAnsi="Times New Roman"/>
          <w:color w:val="auto"/>
          <w:highlight w:val="none"/>
          <w:lang w:eastAsia="zh-CN"/>
        </w:rPr>
        <w:t>2025</w:t>
      </w:r>
      <w:r>
        <w:rPr>
          <w:color w:val="auto"/>
          <w:highlight w:val="none"/>
        </w:rPr>
        <w:t>年，</w:t>
      </w:r>
      <w:r>
        <w:rPr>
          <w:rFonts w:hint="eastAsia"/>
          <w:color w:val="auto"/>
          <w:szCs w:val="22"/>
          <w:highlight w:val="none"/>
        </w:rPr>
        <w:t>常住人口城镇化率达50%</w:t>
      </w:r>
      <w:r>
        <w:rPr>
          <w:rFonts w:hint="eastAsia"/>
          <w:color w:val="auto"/>
          <w:szCs w:val="22"/>
          <w:highlight w:val="none"/>
          <w:lang w:eastAsia="zh-CN"/>
        </w:rPr>
        <w:t>。</w:t>
      </w:r>
    </w:p>
    <w:p>
      <w:pPr>
        <w:keepNext w:val="0"/>
        <w:keepLines w:val="0"/>
        <w:pageBreakBefore w:val="0"/>
        <w:widowControl w:val="0"/>
        <w:kinsoku/>
        <w:wordWrap/>
        <w:topLinePunct w:val="0"/>
        <w:autoSpaceDE/>
        <w:autoSpaceDN/>
        <w:bidi w:val="0"/>
        <w:adjustRightInd/>
        <w:snapToGrid/>
        <w:textAlignment w:val="auto"/>
        <w:rPr>
          <w:color w:val="auto"/>
          <w:highlight w:val="none"/>
        </w:rPr>
      </w:pPr>
      <w:r>
        <w:rPr>
          <w:b/>
          <w:bCs/>
          <w:color w:val="auto"/>
          <w:highlight w:val="none"/>
        </w:rPr>
        <w:t>——</w:t>
      </w:r>
      <w:r>
        <w:rPr>
          <w:rFonts w:hint="eastAsia"/>
          <w:b/>
          <w:bCs/>
          <w:color w:val="auto"/>
          <w:highlight w:val="none"/>
        </w:rPr>
        <w:t>扩容提质迈上新台阶</w:t>
      </w:r>
      <w:r>
        <w:rPr>
          <w:b/>
          <w:bCs/>
          <w:color w:val="auto"/>
          <w:highlight w:val="none"/>
        </w:rPr>
        <w:t>。</w:t>
      </w:r>
      <w:r>
        <w:rPr>
          <w:rFonts w:hint="eastAsia"/>
          <w:b w:val="0"/>
          <w:bCs w:val="0"/>
          <w:color w:val="auto"/>
          <w:highlight w:val="none"/>
        </w:rPr>
        <w:t>打造以湛江内海湾作为城市南北中轴，以海湾大桥为城市发展格局的东西中轴，</w:t>
      </w:r>
      <w:r>
        <w:rPr>
          <w:rFonts w:hint="eastAsia" w:ascii="仿宋_GB2312" w:hAnsi="仿宋" w:cs="仿宋_GB2312"/>
          <w:color w:val="auto"/>
          <w:kern w:val="32"/>
          <w:szCs w:val="32"/>
          <w:highlight w:val="none"/>
        </w:rPr>
        <w:t>引领湛江向海发展、向东发展，推进</w:t>
      </w:r>
      <w:r>
        <w:rPr>
          <w:rFonts w:hint="eastAsia" w:ascii="仿宋_GB2312"/>
          <w:color w:val="auto"/>
          <w:kern w:val="32"/>
          <w:highlight w:val="none"/>
        </w:rPr>
        <w:t>港湾联成一体。</w:t>
      </w:r>
      <w:r>
        <w:rPr>
          <w:rFonts w:hint="eastAsia" w:ascii="仿宋_GB2312"/>
          <w:color w:val="auto"/>
          <w:kern w:val="32"/>
          <w:szCs w:val="32"/>
          <w:highlight w:val="none"/>
        </w:rPr>
        <w:t>湾内通勤便捷、周边联通高效、对外快速通达的综合交通枢纽基本建成，打造成湛江东大门。</w:t>
      </w:r>
      <w:r>
        <w:rPr>
          <w:rFonts w:hint="eastAsia"/>
          <w:color w:val="auto"/>
          <w:highlight w:val="none"/>
        </w:rPr>
        <w:t>“</w:t>
      </w:r>
      <w:r>
        <w:rPr>
          <w:color w:val="auto"/>
          <w:highlight w:val="none"/>
        </w:rPr>
        <w:t>四区合一</w:t>
      </w:r>
      <w:r>
        <w:rPr>
          <w:rFonts w:hint="eastAsia"/>
          <w:color w:val="auto"/>
          <w:highlight w:val="none"/>
        </w:rPr>
        <w:t>”</w:t>
      </w:r>
      <w:r>
        <w:rPr>
          <w:color w:val="auto"/>
          <w:highlight w:val="none"/>
        </w:rPr>
        <w:t>深入实施全力推动城区升级提质，加快推动产业园区与城市融合，建设用地产出效率大为提高。生态系统功能与生态环境质量全面提升，生态环境自我修复能力不断增强。加快实施湛江湾和南调河整治，建设城区滨海灯光廊景观带，打造美丽生态海湾新城。</w:t>
      </w:r>
    </w:p>
    <w:p>
      <w:pPr>
        <w:keepNext w:val="0"/>
        <w:keepLines w:val="0"/>
        <w:pageBreakBefore w:val="0"/>
        <w:widowControl w:val="0"/>
        <w:kinsoku/>
        <w:wordWrap/>
        <w:overflowPunct w:val="0"/>
        <w:topLinePunct w:val="0"/>
        <w:autoSpaceDE/>
        <w:autoSpaceDN/>
        <w:bidi w:val="0"/>
        <w:adjustRightInd/>
        <w:snapToGrid/>
        <w:spacing w:line="360" w:lineRule="auto"/>
        <w:ind w:firstLine="633" w:firstLineChars="200"/>
        <w:textAlignment w:val="auto"/>
        <w:rPr>
          <w:rFonts w:hint="eastAsia"/>
          <w:color w:val="auto"/>
          <w:szCs w:val="22"/>
          <w:highlight w:val="none"/>
        </w:rPr>
      </w:pPr>
      <w:r>
        <w:rPr>
          <w:rFonts w:hint="default" w:ascii="Times New Roman" w:hAnsi="Times New Roman" w:eastAsia="华文中宋" w:cs="Times New Roman"/>
          <w:b/>
          <w:color w:val="auto"/>
          <w:spacing w:val="-2"/>
          <w:kern w:val="32"/>
          <w:highlight w:val="none"/>
        </w:rPr>
        <w:t>——</w:t>
      </w:r>
      <w:r>
        <w:rPr>
          <w:rFonts w:hint="eastAsia" w:ascii="仿宋_GB2312"/>
          <w:b/>
          <w:color w:val="auto"/>
          <w:spacing w:val="-2"/>
          <w:kern w:val="32"/>
          <w:highlight w:val="none"/>
        </w:rPr>
        <w:t>生态文明得到新改善。</w:t>
      </w:r>
      <w:r>
        <w:rPr>
          <w:rFonts w:hint="eastAsia"/>
          <w:color w:val="auto"/>
          <w:szCs w:val="22"/>
          <w:highlight w:val="none"/>
        </w:rPr>
        <w:t>坚决落实碳达峰、碳中和的要求，严格落实《湛江湾保护条例》，建立陆海统筹的生态环境治理体系，国土空间开发保护得到优化，城乡人居环境明显改善。生产生活方式绿色转型成效显著，资源利用效率大幅提高，能耗和污染物排放大幅减少。空气质量保持优良，海岸带生态保护与修复水平明显提升，生态安全屏障更加牢固，天蓝、地绿、水清的城乡人居环境更加美丽。</w:t>
      </w:r>
    </w:p>
    <w:p>
      <w:pPr>
        <w:keepNext w:val="0"/>
        <w:keepLines w:val="0"/>
        <w:pageBreakBefore w:val="0"/>
        <w:widowControl w:val="0"/>
        <w:kinsoku/>
        <w:wordWrap/>
        <w:overflowPunct w:val="0"/>
        <w:topLinePunct w:val="0"/>
        <w:autoSpaceDE/>
        <w:autoSpaceDN/>
        <w:bidi w:val="0"/>
        <w:adjustRightInd/>
        <w:snapToGrid/>
        <w:spacing w:line="360" w:lineRule="auto"/>
        <w:ind w:firstLine="641" w:firstLineChars="200"/>
        <w:textAlignment w:val="auto"/>
        <w:rPr>
          <w:rFonts w:hint="eastAsia"/>
          <w:color w:val="auto"/>
          <w:szCs w:val="22"/>
          <w:highlight w:val="none"/>
        </w:rPr>
      </w:pPr>
      <w:r>
        <w:rPr>
          <w:rFonts w:hint="default" w:ascii="Times New Roman" w:hAnsi="Times New Roman" w:eastAsia="华文中宋" w:cs="Times New Roman"/>
          <w:b/>
          <w:color w:val="auto"/>
          <w:kern w:val="32"/>
          <w:highlight w:val="none"/>
        </w:rPr>
        <w:t>——</w:t>
      </w:r>
      <w:r>
        <w:rPr>
          <w:rFonts w:hint="eastAsia" w:ascii="仿宋_GB2312"/>
          <w:b/>
          <w:color w:val="auto"/>
          <w:kern w:val="32"/>
          <w:highlight w:val="none"/>
        </w:rPr>
        <w:t>社会治理开创新局面。</w:t>
      </w:r>
      <w:r>
        <w:rPr>
          <w:rFonts w:hint="eastAsia"/>
          <w:color w:val="auto"/>
          <w:szCs w:val="22"/>
          <w:highlight w:val="none"/>
        </w:rPr>
        <w:t>阳光法治服务政府建设深入人心，深化推进营商环境建设，细化量化营商环境建设责任考核。行政体系更加完善，行政效率和公信力显著提升。高标准市场体系基本建成，市场主体活力充分释放，公平竞争制度更加健全。市域社会治理现代化试点工作进一步推进，社会治理系统化、社会化、精细化、法治化、智能化水平不断提升，以党建为引领的基层社会治理水平持续提升，基层和社区活力进一步激发，平安坡头、法治坡头达到更高水平。</w:t>
      </w:r>
    </w:p>
    <w:p>
      <w:pPr>
        <w:pStyle w:val="2"/>
        <w:rPr>
          <w:rFonts w:hint="eastAsia"/>
          <w:color w:val="auto"/>
          <w:highlight w:val="none"/>
        </w:rPr>
      </w:pPr>
    </w:p>
    <w:p>
      <w:pPr>
        <w:ind w:left="0" w:leftChars="0" w:firstLine="0" w:firstLineChars="0"/>
        <w:rPr>
          <w:rFonts w:hint="eastAsia"/>
          <w:color w:val="auto"/>
          <w:highlight w:val="none"/>
        </w:rPr>
      </w:pPr>
    </w:p>
    <w:p>
      <w:pPr>
        <w:ind w:firstLine="0" w:firstLineChars="0"/>
        <w:jc w:val="center"/>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rPr>
        <w:t>坡头</w:t>
      </w:r>
      <w:r>
        <w:rPr>
          <w:rFonts w:hint="eastAsia" w:ascii="黑体" w:hAnsi="黑体" w:eastAsia="黑体" w:cs="黑体"/>
          <w:b w:val="0"/>
          <w:bCs w:val="0"/>
          <w:color w:val="auto"/>
          <w:sz w:val="32"/>
          <w:szCs w:val="32"/>
          <w:highlight w:val="none"/>
          <w:lang w:val="en-US" w:eastAsia="zh-CN"/>
        </w:rPr>
        <w:t>区</w:t>
      </w:r>
      <w:r>
        <w:rPr>
          <w:rFonts w:hint="eastAsia" w:ascii="黑体" w:hAnsi="黑体" w:eastAsia="黑体" w:cs="黑体"/>
          <w:b w:val="0"/>
          <w:bCs w:val="0"/>
          <w:color w:val="auto"/>
          <w:sz w:val="32"/>
          <w:szCs w:val="32"/>
          <w:highlight w:val="none"/>
        </w:rPr>
        <w:t>“十四五”</w:t>
      </w:r>
      <w:r>
        <w:rPr>
          <w:rFonts w:hint="eastAsia" w:ascii="黑体" w:hAnsi="黑体" w:eastAsia="黑体" w:cs="黑体"/>
          <w:b w:val="0"/>
          <w:bCs w:val="0"/>
          <w:color w:val="auto"/>
          <w:sz w:val="32"/>
          <w:szCs w:val="32"/>
          <w:highlight w:val="none"/>
          <w:lang w:val="en-US" w:eastAsia="zh-CN"/>
        </w:rPr>
        <w:t>规划</w:t>
      </w:r>
      <w:r>
        <w:rPr>
          <w:rFonts w:hint="eastAsia" w:ascii="黑体" w:hAnsi="黑体" w:eastAsia="黑体" w:cs="黑体"/>
          <w:b w:val="0"/>
          <w:bCs w:val="0"/>
          <w:color w:val="auto"/>
          <w:sz w:val="32"/>
          <w:szCs w:val="32"/>
          <w:highlight w:val="none"/>
        </w:rPr>
        <w:t>经济社会发展主要</w:t>
      </w:r>
      <w:r>
        <w:rPr>
          <w:rFonts w:hint="eastAsia" w:ascii="黑体" w:hAnsi="黑体" w:eastAsia="黑体" w:cs="黑体"/>
          <w:b w:val="0"/>
          <w:bCs w:val="0"/>
          <w:color w:val="auto"/>
          <w:sz w:val="32"/>
          <w:szCs w:val="32"/>
          <w:highlight w:val="none"/>
          <w:lang w:val="en-US" w:eastAsia="zh-CN"/>
        </w:rPr>
        <w:t>预期目标</w:t>
      </w:r>
    </w:p>
    <w:p>
      <w:pPr>
        <w:ind w:firstLine="0" w:firstLineChars="0"/>
        <w:jc w:val="center"/>
        <w:rPr>
          <w:rFonts w:hint="eastAsia" w:ascii="黑体" w:hAnsi="黑体" w:eastAsia="黑体" w:cs="黑体"/>
          <w:b w:val="0"/>
          <w:bCs w:val="0"/>
          <w:color w:val="auto"/>
          <w:sz w:val="32"/>
          <w:szCs w:val="32"/>
          <w:highlight w:val="none"/>
          <w:lang w:eastAsia="zh-CN"/>
        </w:rPr>
      </w:pPr>
      <w:r>
        <w:rPr>
          <w:rFonts w:hint="eastAsia" w:ascii="黑体" w:hAnsi="黑体" w:eastAsia="黑体" w:cs="黑体"/>
          <w:b w:val="0"/>
          <w:bCs w:val="0"/>
          <w:color w:val="auto"/>
          <w:sz w:val="24"/>
          <w:szCs w:val="24"/>
          <w:highlight w:val="none"/>
          <w:lang w:eastAsia="zh-CN"/>
        </w:rPr>
        <w:t>（</w:t>
      </w:r>
      <w:r>
        <w:rPr>
          <w:rFonts w:hint="eastAsia" w:ascii="黑体" w:hAnsi="黑体" w:eastAsia="黑体" w:cs="黑体"/>
          <w:b w:val="0"/>
          <w:bCs w:val="0"/>
          <w:color w:val="auto"/>
          <w:sz w:val="24"/>
          <w:szCs w:val="24"/>
          <w:highlight w:val="none"/>
          <w:lang w:val="en-US" w:eastAsia="zh-CN"/>
        </w:rPr>
        <w:t>在地口径</w:t>
      </w:r>
      <w:r>
        <w:rPr>
          <w:rFonts w:hint="eastAsia" w:ascii="黑体" w:hAnsi="黑体" w:eastAsia="黑体" w:cs="黑体"/>
          <w:b w:val="0"/>
          <w:bCs w:val="0"/>
          <w:color w:val="auto"/>
          <w:sz w:val="24"/>
          <w:szCs w:val="24"/>
          <w:highlight w:val="none"/>
          <w:lang w:eastAsia="zh-CN"/>
        </w:rPr>
        <w:t>）</w:t>
      </w:r>
    </w:p>
    <w:tbl>
      <w:tblPr>
        <w:tblStyle w:val="14"/>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525"/>
        <w:gridCol w:w="3391"/>
        <w:gridCol w:w="1779"/>
        <w:gridCol w:w="1523"/>
        <w:gridCol w:w="89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548"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类别</w:t>
            </w:r>
          </w:p>
        </w:tc>
        <w:tc>
          <w:tcPr>
            <w:tcW w:w="525" w:type="dxa"/>
            <w:vMerge w:val="restart"/>
            <w:noWrap w:val="0"/>
            <w:vAlign w:val="center"/>
          </w:tcPr>
          <w:p>
            <w:pPr>
              <w:widowControl/>
              <w:spacing w:line="240" w:lineRule="auto"/>
              <w:ind w:firstLine="0" w:firstLineChars="0"/>
              <w:jc w:val="center"/>
              <w:textAlignment w:val="baseline"/>
              <w:rPr>
                <w:rFonts w:hint="eastAsia" w:ascii="Times New Roman" w:hAnsi="Times New Roman" w:eastAsia="宋体" w:cs="Times New Roman"/>
                <w:b/>
                <w:bCs/>
                <w:color w:val="auto"/>
                <w:kern w:val="2"/>
                <w:sz w:val="24"/>
                <w:szCs w:val="24"/>
                <w:highlight w:val="none"/>
                <w:lang w:val="en-US" w:eastAsia="zh-CN"/>
              </w:rPr>
            </w:pPr>
            <w:r>
              <w:rPr>
                <w:rFonts w:hint="eastAsia" w:eastAsia="宋体" w:cs="Times New Roman"/>
                <w:b/>
                <w:bCs/>
                <w:color w:val="auto"/>
                <w:kern w:val="2"/>
                <w:sz w:val="24"/>
                <w:szCs w:val="24"/>
                <w:highlight w:val="none"/>
                <w:lang w:val="en-US" w:eastAsia="zh-CN"/>
              </w:rPr>
              <w:t>序号</w:t>
            </w:r>
          </w:p>
        </w:tc>
        <w:tc>
          <w:tcPr>
            <w:tcW w:w="3391"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指标</w:t>
            </w:r>
          </w:p>
        </w:tc>
        <w:tc>
          <w:tcPr>
            <w:tcW w:w="1779"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lang w:eastAsia="zh-CN"/>
              </w:rPr>
              <w:t>2020</w:t>
            </w:r>
            <w:r>
              <w:rPr>
                <w:rFonts w:hint="eastAsia" w:ascii="Times New Roman" w:hAnsi="Times New Roman" w:eastAsia="宋体" w:cs="Times New Roman"/>
                <w:b/>
                <w:bCs/>
                <w:color w:val="auto"/>
                <w:kern w:val="2"/>
                <w:sz w:val="24"/>
                <w:szCs w:val="24"/>
                <w:highlight w:val="none"/>
              </w:rPr>
              <w:t>年</w:t>
            </w:r>
          </w:p>
        </w:tc>
        <w:tc>
          <w:tcPr>
            <w:tcW w:w="2414" w:type="dxa"/>
            <w:gridSpan w:val="2"/>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仿宋" w:hAnsi="仿宋" w:eastAsia="仿宋" w:cs="Times New Roman"/>
                <w:b/>
                <w:bCs/>
                <w:color w:val="auto"/>
                <w:kern w:val="2"/>
                <w:sz w:val="24"/>
                <w:szCs w:val="24"/>
                <w:highlight w:val="none"/>
              </w:rPr>
              <w:t>“</w:t>
            </w:r>
            <w:r>
              <w:rPr>
                <w:rFonts w:hint="eastAsia" w:ascii="Times New Roman" w:hAnsi="Times New Roman" w:eastAsia="宋体" w:cs="Times New Roman"/>
                <w:b/>
                <w:bCs/>
                <w:color w:val="auto"/>
                <w:kern w:val="2"/>
                <w:sz w:val="24"/>
                <w:szCs w:val="24"/>
                <w:highlight w:val="none"/>
              </w:rPr>
              <w:t>十四五”预期目标</w:t>
            </w:r>
          </w:p>
        </w:tc>
        <w:tc>
          <w:tcPr>
            <w:tcW w:w="992"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指标</w:t>
            </w:r>
          </w:p>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blHeader/>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3391"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1779"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lang w:eastAsia="zh-CN"/>
              </w:rPr>
              <w:t>2025</w:t>
            </w:r>
            <w:r>
              <w:rPr>
                <w:rFonts w:hint="eastAsia" w:ascii="Times New Roman" w:hAnsi="Times New Roman" w:eastAsia="宋体" w:cs="Times New Roman"/>
                <w:b/>
                <w:bCs/>
                <w:color w:val="auto"/>
                <w:kern w:val="2"/>
                <w:sz w:val="24"/>
                <w:szCs w:val="24"/>
                <w:highlight w:val="none"/>
              </w:rPr>
              <w:t>年</w:t>
            </w:r>
          </w:p>
        </w:tc>
        <w:tc>
          <w:tcPr>
            <w:tcW w:w="891" w:type="dxa"/>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年均</w:t>
            </w:r>
          </w:p>
          <w:p>
            <w:pPr>
              <w:widowControl/>
              <w:spacing w:line="240" w:lineRule="auto"/>
              <w:ind w:firstLine="0" w:firstLineChars="0"/>
              <w:jc w:val="center"/>
              <w:textAlignment w:val="baseline"/>
              <w:rPr>
                <w:rFonts w:hint="eastAsia" w:ascii="Times New Roman" w:hAnsi="Times New Roman" w:eastAsia="宋体" w:cs="Times New Roman"/>
                <w:b/>
                <w:bCs/>
                <w:color w:val="auto"/>
                <w:kern w:val="2"/>
                <w:sz w:val="24"/>
                <w:szCs w:val="24"/>
                <w:highlight w:val="none"/>
                <w:lang w:eastAsia="zh-CN"/>
              </w:rPr>
            </w:pPr>
            <w:r>
              <w:rPr>
                <w:rFonts w:hint="eastAsia" w:ascii="Times New Roman" w:hAnsi="Times New Roman" w:eastAsia="宋体" w:cs="Times New Roman"/>
                <w:b/>
                <w:bCs/>
                <w:color w:val="auto"/>
                <w:kern w:val="2"/>
                <w:sz w:val="24"/>
                <w:szCs w:val="24"/>
                <w:highlight w:val="none"/>
              </w:rPr>
              <w:t>增长</w:t>
            </w:r>
            <w:r>
              <w:rPr>
                <w:rFonts w:hint="eastAsia" w:ascii="Times New Roman" w:hAnsi="Times New Roman" w:eastAsia="宋体" w:cs="Times New Roman"/>
                <w:b/>
                <w:bCs/>
                <w:color w:val="auto"/>
                <w:kern w:val="2"/>
                <w:sz w:val="24"/>
                <w:szCs w:val="24"/>
                <w:highlight w:val="none"/>
                <w:lang w:eastAsia="zh-CN"/>
              </w:rPr>
              <w:t>%</w:t>
            </w:r>
          </w:p>
        </w:tc>
        <w:tc>
          <w:tcPr>
            <w:tcW w:w="992"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经济</w:t>
            </w:r>
          </w:p>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发展</w:t>
            </w:r>
          </w:p>
        </w:tc>
        <w:tc>
          <w:tcPr>
            <w:tcW w:w="525" w:type="dxa"/>
            <w:vMerge w:val="restart"/>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生产总值（亿元）</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333.96</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486</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7.5</w:t>
            </w:r>
            <w:r>
              <w:rPr>
                <w:rFonts w:hint="default" w:ascii="Times New Roman" w:hAnsi="Times New Roman" w:eastAsia="宋体" w:cs="Times New Roman"/>
                <w:color w:val="auto"/>
                <w:kern w:val="2"/>
                <w:sz w:val="24"/>
                <w:szCs w:val="24"/>
                <w:highlight w:val="none"/>
                <w:lang w:val="en-US" w:eastAsia="zh-CN"/>
              </w:rPr>
              <w:t>以上</w:t>
            </w:r>
          </w:p>
        </w:tc>
        <w:tc>
          <w:tcPr>
            <w:tcW w:w="992" w:type="dxa"/>
            <w:noWrap w:val="0"/>
            <w:vAlign w:val="top"/>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vMerge w:val="continue"/>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 xml:space="preserve">   </w:t>
            </w:r>
            <w:r>
              <w:rPr>
                <w:rFonts w:hint="eastAsia" w:ascii="Times New Roman" w:hAnsi="Times New Roman" w:eastAsia="宋体" w:cs="Times New Roman"/>
                <w:color w:val="auto"/>
                <w:kern w:val="2"/>
                <w:sz w:val="24"/>
                <w:szCs w:val="24"/>
                <w:highlight w:val="none"/>
              </w:rPr>
              <w:t>第一产业</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20.7</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26</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4.5</w:t>
            </w:r>
          </w:p>
        </w:tc>
        <w:tc>
          <w:tcPr>
            <w:tcW w:w="992" w:type="dxa"/>
            <w:noWrap w:val="0"/>
            <w:vAlign w:val="top"/>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vMerge w:val="continue"/>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 xml:space="preserve">   </w:t>
            </w:r>
            <w:r>
              <w:rPr>
                <w:rFonts w:hint="eastAsia" w:ascii="Times New Roman" w:hAnsi="Times New Roman" w:eastAsia="宋体" w:cs="Times New Roman"/>
                <w:color w:val="auto"/>
                <w:kern w:val="2"/>
                <w:sz w:val="24"/>
                <w:szCs w:val="24"/>
                <w:highlight w:val="none"/>
              </w:rPr>
              <w:t>第二产业</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227.9</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335</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w:t>
            </w:r>
          </w:p>
        </w:tc>
        <w:tc>
          <w:tcPr>
            <w:tcW w:w="992" w:type="dxa"/>
            <w:noWrap w:val="0"/>
            <w:vAlign w:val="top"/>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vMerge w:val="continue"/>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 xml:space="preserve">     #</w:t>
            </w:r>
            <w:r>
              <w:rPr>
                <w:rFonts w:hint="eastAsia" w:ascii="Times New Roman" w:hAnsi="Times New Roman" w:eastAsia="宋体" w:cs="Times New Roman"/>
                <w:color w:val="auto"/>
                <w:kern w:val="2"/>
                <w:sz w:val="24"/>
                <w:szCs w:val="24"/>
                <w:highlight w:val="none"/>
              </w:rPr>
              <w:t>工业（亿元）</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192.2</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282</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w:t>
            </w:r>
          </w:p>
        </w:tc>
        <w:tc>
          <w:tcPr>
            <w:tcW w:w="992" w:type="dxa"/>
            <w:noWrap w:val="0"/>
            <w:vAlign w:val="top"/>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vMerge w:val="continue"/>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 xml:space="preserve">   </w:t>
            </w:r>
            <w:r>
              <w:rPr>
                <w:rFonts w:hint="eastAsia" w:ascii="Times New Roman" w:hAnsi="Times New Roman" w:eastAsia="宋体" w:cs="Times New Roman"/>
                <w:color w:val="auto"/>
                <w:kern w:val="2"/>
                <w:sz w:val="24"/>
                <w:szCs w:val="24"/>
                <w:highlight w:val="none"/>
              </w:rPr>
              <w:t>第三产业</w:t>
            </w:r>
          </w:p>
        </w:tc>
        <w:tc>
          <w:tcPr>
            <w:tcW w:w="1779"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8</w:t>
            </w:r>
            <w:r>
              <w:rPr>
                <w:rFonts w:hint="eastAsia" w:ascii="Times New Roman" w:hAnsi="Times New Roman" w:eastAsia="宋体" w:cs="Times New Roman"/>
                <w:color w:val="auto"/>
                <w:kern w:val="2"/>
                <w:sz w:val="24"/>
                <w:szCs w:val="24"/>
                <w:highlight w:val="none"/>
                <w:lang w:eastAsia="zh-CN"/>
              </w:rPr>
              <w:t>5.4</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125</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w:t>
            </w:r>
          </w:p>
        </w:tc>
        <w:tc>
          <w:tcPr>
            <w:tcW w:w="992" w:type="dxa"/>
            <w:noWrap w:val="0"/>
            <w:vAlign w:val="top"/>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人均生产总值（元）</w:t>
            </w:r>
          </w:p>
        </w:tc>
        <w:tc>
          <w:tcPr>
            <w:tcW w:w="1779"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97450</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130000</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6</w:t>
            </w:r>
          </w:p>
        </w:tc>
        <w:tc>
          <w:tcPr>
            <w:tcW w:w="992" w:type="dxa"/>
            <w:noWrap w:val="0"/>
            <w:vAlign w:val="top"/>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三次产业比例（</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6.2</w:t>
            </w:r>
            <w:r>
              <w:rPr>
                <w:rFonts w:hint="eastAsia"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68.2</w:t>
            </w:r>
            <w:r>
              <w:rPr>
                <w:rFonts w:hint="eastAsia"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25.6</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u w:val="single"/>
                <w:lang w:val="en-US" w:eastAsia="zh-CN"/>
              </w:rPr>
            </w:pPr>
            <w:r>
              <w:rPr>
                <w:rFonts w:hint="eastAsia" w:ascii="Times New Roman" w:hAnsi="Times New Roman" w:eastAsia="宋体" w:cs="Times New Roman"/>
                <w:color w:val="auto"/>
                <w:kern w:val="2"/>
                <w:sz w:val="24"/>
                <w:szCs w:val="24"/>
                <w:highlight w:val="none"/>
                <w:lang w:val="en-US" w:eastAsia="zh-CN"/>
              </w:rPr>
              <w:t>5.3</w:t>
            </w:r>
            <w:r>
              <w:rPr>
                <w:rFonts w:hint="eastAsia"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69</w:t>
            </w:r>
            <w:r>
              <w:rPr>
                <w:rFonts w:hint="eastAsia"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25.7</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4</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一般公共预算收入</w:t>
            </w:r>
          </w:p>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（亿元）</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5.44</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8.0</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8</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5</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固定资产投资（亿元）</w:t>
            </w:r>
          </w:p>
        </w:tc>
        <w:tc>
          <w:tcPr>
            <w:tcW w:w="1779"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582</w:t>
            </w:r>
            <w:r>
              <w:rPr>
                <w:rFonts w:ascii="Times New Roman" w:hAnsi="Times New Roman" w:eastAsia="宋体" w:cs="Times New Roman"/>
                <w:color w:val="auto"/>
                <w:kern w:val="2"/>
                <w:sz w:val="24"/>
                <w:szCs w:val="24"/>
                <w:highlight w:val="none"/>
              </w:rPr>
              <w:t>]</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800</w:t>
            </w:r>
            <w:r>
              <w:rPr>
                <w:rFonts w:ascii="Times New Roman" w:hAnsi="Times New Roman" w:eastAsia="宋体" w:cs="Times New Roman"/>
                <w:color w:val="auto"/>
                <w:kern w:val="2"/>
                <w:sz w:val="24"/>
                <w:szCs w:val="24"/>
                <w:highlight w:val="none"/>
              </w:rPr>
              <w:t>]</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37</w:t>
            </w:r>
            <w:r>
              <w:rPr>
                <w:rFonts w:hint="eastAsia" w:eastAsia="宋体" w:cs="Times New Roman"/>
                <w:color w:val="auto"/>
                <w:kern w:val="2"/>
                <w:sz w:val="16"/>
                <w:szCs w:val="16"/>
                <w:highlight w:val="none"/>
                <w:lang w:val="en-US" w:eastAsia="zh-CN"/>
              </w:rPr>
              <w:t>（比“十三五”）</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6</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常住人口城镇化率（</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50</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7</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研发经费投入增长（</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891"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eastAsia="宋体" w:cs="Times New Roman"/>
                <w:color w:val="auto"/>
                <w:kern w:val="2"/>
                <w:sz w:val="24"/>
                <w:szCs w:val="24"/>
                <w:highlight w:val="none"/>
                <w:lang w:eastAsia="zh-CN"/>
              </w:rPr>
              <w:t>（由市下达）</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每万人口高价值发明专利拥有量（件）</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rPr>
              <w:t>1.86</w:t>
            </w:r>
          </w:p>
        </w:tc>
        <w:tc>
          <w:tcPr>
            <w:tcW w:w="1523"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rPr>
              <w:t>6</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26.4</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民生</w:t>
            </w:r>
            <w:r>
              <w:rPr>
                <w:rFonts w:ascii="Times New Roman" w:hAnsi="Times New Roman" w:eastAsia="宋体" w:cs="Times New Roman"/>
                <w:b/>
                <w:bCs/>
                <w:color w:val="auto"/>
                <w:kern w:val="2"/>
                <w:sz w:val="24"/>
                <w:szCs w:val="24"/>
                <w:highlight w:val="none"/>
              </w:rPr>
              <w:t xml:space="preserve">  </w:t>
            </w:r>
            <w:r>
              <w:rPr>
                <w:rFonts w:hint="eastAsia" w:ascii="Times New Roman" w:hAnsi="Times New Roman" w:eastAsia="宋体" w:cs="Times New Roman"/>
                <w:b/>
                <w:bCs/>
                <w:color w:val="auto"/>
                <w:kern w:val="2"/>
                <w:sz w:val="24"/>
                <w:szCs w:val="24"/>
                <w:highlight w:val="none"/>
              </w:rPr>
              <w:t>福祉</w:t>
            </w: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9</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人口自然增长率（</w:t>
            </w: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11.52</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10.78</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10</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人均预期寿命（岁）</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77.65</w:t>
            </w:r>
          </w:p>
        </w:tc>
        <w:tc>
          <w:tcPr>
            <w:tcW w:w="1523"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进入全市先进水平</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11</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城镇新增就业人数</w:t>
            </w:r>
          </w:p>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（万人）</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1.9</w:t>
            </w:r>
            <w:r>
              <w:rPr>
                <w:rFonts w:hint="eastAsia" w:eastAsia="宋体" w:cs="Times New Roman"/>
                <w:color w:val="auto"/>
                <w:kern w:val="2"/>
                <w:sz w:val="24"/>
                <w:szCs w:val="24"/>
                <w:highlight w:val="none"/>
                <w:lang w:val="en-US" w:eastAsia="zh-CN"/>
              </w:rPr>
              <w:t>]</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1.5</w:t>
            </w:r>
            <w:r>
              <w:rPr>
                <w:rFonts w:ascii="Times New Roman" w:hAnsi="Times New Roman" w:eastAsia="宋体" w:cs="Times New Roman"/>
                <w:color w:val="auto"/>
                <w:kern w:val="2"/>
                <w:sz w:val="24"/>
                <w:szCs w:val="24"/>
                <w:highlight w:val="none"/>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12</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九年义务教育巩固率（</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99.6</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99.9</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13</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劳动年龄人口平均受教育年限（年）</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10.4</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11.5</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14</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每千人口拥有执业（助理）医师数（人）</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1.52</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1.77</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top"/>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15</w:t>
            </w:r>
          </w:p>
        </w:tc>
        <w:tc>
          <w:tcPr>
            <w:tcW w:w="3391" w:type="dxa"/>
            <w:noWrap w:val="0"/>
            <w:vAlign w:val="top"/>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城镇职工基本养老保险参保人数（含离退休）（万人）</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3.32</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3.94</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3.48</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16</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城乡居民基本养老保险参保人数（万人）</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18.06</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18.96</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1.06</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17</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城乡基本医疗保险参保率（</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97</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98</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18</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城镇保障性安居工程建设（万套）</w:t>
            </w:r>
          </w:p>
        </w:tc>
        <w:tc>
          <w:tcPr>
            <w:tcW w:w="1779"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0</w:t>
            </w:r>
            <w:r>
              <w:rPr>
                <w:rFonts w:ascii="Times New Roman" w:hAnsi="Times New Roman" w:eastAsia="宋体" w:cs="Times New Roman"/>
                <w:color w:val="auto"/>
                <w:kern w:val="2"/>
                <w:sz w:val="24"/>
                <w:szCs w:val="24"/>
                <w:highlight w:val="none"/>
              </w:rPr>
              <w:t>]</w:t>
            </w:r>
          </w:p>
        </w:tc>
        <w:tc>
          <w:tcPr>
            <w:tcW w:w="1523"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eastAsia="zh-CN"/>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19</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人均可支配收入增长率（</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8.3</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与经济增长基本一致</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20</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城乡居民收入比</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1.86</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1.81</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0.5</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48"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生态</w:t>
            </w:r>
          </w:p>
          <w:p>
            <w:pPr>
              <w:widowControl/>
              <w:spacing w:line="240" w:lineRule="auto"/>
              <w:ind w:firstLine="0" w:firstLineChars="0"/>
              <w:jc w:val="center"/>
              <w:textAlignment w:val="baseline"/>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文明</w:t>
            </w: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21</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单位</w:t>
            </w:r>
            <w:r>
              <w:rPr>
                <w:rFonts w:hint="eastAsia" w:ascii="Times New Roman" w:hAnsi="Times New Roman" w:eastAsia="宋体" w:cs="Times New Roman"/>
                <w:color w:val="auto"/>
                <w:kern w:val="2"/>
                <w:sz w:val="24"/>
                <w:szCs w:val="24"/>
                <w:highlight w:val="none"/>
                <w:lang w:eastAsia="zh-CN"/>
              </w:rPr>
              <w:t>GDP</w:t>
            </w:r>
            <w:r>
              <w:rPr>
                <w:rFonts w:hint="eastAsia" w:ascii="Times New Roman" w:hAnsi="Times New Roman" w:eastAsia="宋体" w:cs="Times New Roman"/>
                <w:color w:val="auto"/>
                <w:kern w:val="2"/>
                <w:sz w:val="24"/>
                <w:szCs w:val="24"/>
                <w:highlight w:val="none"/>
              </w:rPr>
              <w:t>能耗降低（</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p>
        </w:tc>
        <w:tc>
          <w:tcPr>
            <w:tcW w:w="1523"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eastAsia="zh-CN"/>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22</w:t>
            </w:r>
          </w:p>
        </w:tc>
        <w:tc>
          <w:tcPr>
            <w:tcW w:w="3391" w:type="dxa"/>
            <w:noWrap w:val="0"/>
            <w:vAlign w:val="center"/>
          </w:tcPr>
          <w:p>
            <w:pPr>
              <w:widowControl/>
              <w:spacing w:line="240" w:lineRule="auto"/>
              <w:ind w:firstLine="0" w:firstLineChars="0"/>
              <w:textAlignment w:val="baseline"/>
              <w:rPr>
                <w:rFonts w:ascii="Times New Roman" w:hAnsi="Times New Roman" w:eastAsia="宋体" w:cs="Times New Roman"/>
                <w:color w:val="auto"/>
                <w:kern w:val="2"/>
                <w:sz w:val="24"/>
                <w:szCs w:val="16"/>
                <w:highlight w:val="none"/>
              </w:rPr>
            </w:pPr>
            <w:r>
              <w:rPr>
                <w:rFonts w:hint="eastAsia" w:ascii="Times New Roman" w:hAnsi="Times New Roman" w:eastAsia="宋体" w:cs="Times New Roman"/>
                <w:color w:val="auto"/>
                <w:kern w:val="2"/>
                <w:sz w:val="24"/>
                <w:szCs w:val="16"/>
                <w:highlight w:val="none"/>
              </w:rPr>
              <w:t>单位</w:t>
            </w:r>
            <w:r>
              <w:rPr>
                <w:rFonts w:hint="eastAsia" w:ascii="Times New Roman" w:hAnsi="Times New Roman" w:eastAsia="宋体" w:cs="Times New Roman"/>
                <w:color w:val="auto"/>
                <w:kern w:val="2"/>
                <w:sz w:val="24"/>
                <w:szCs w:val="16"/>
                <w:highlight w:val="none"/>
                <w:lang w:eastAsia="zh-CN"/>
              </w:rPr>
              <w:t>GDP</w:t>
            </w:r>
            <w:r>
              <w:rPr>
                <w:rFonts w:hint="eastAsia" w:ascii="Times New Roman" w:hAnsi="Times New Roman" w:eastAsia="宋体" w:cs="Times New Roman"/>
                <w:color w:val="auto"/>
                <w:kern w:val="2"/>
                <w:sz w:val="24"/>
                <w:szCs w:val="16"/>
                <w:highlight w:val="none"/>
              </w:rPr>
              <w:t>二氧化碳排放降低（</w:t>
            </w:r>
            <w:r>
              <w:rPr>
                <w:rFonts w:hint="eastAsia" w:ascii="Times New Roman" w:hAnsi="Times New Roman" w:eastAsia="宋体" w:cs="Times New Roman"/>
                <w:color w:val="auto"/>
                <w:kern w:val="2"/>
                <w:sz w:val="24"/>
                <w:szCs w:val="16"/>
                <w:highlight w:val="none"/>
                <w:lang w:eastAsia="zh-CN"/>
              </w:rPr>
              <w:t>%</w:t>
            </w:r>
            <w:r>
              <w:rPr>
                <w:rFonts w:hint="eastAsia" w:ascii="Times New Roman" w:hAnsi="Times New Roman" w:eastAsia="宋体" w:cs="Times New Roman"/>
                <w:color w:val="auto"/>
                <w:kern w:val="2"/>
                <w:sz w:val="24"/>
                <w:szCs w:val="16"/>
                <w:highlight w:val="none"/>
              </w:rPr>
              <w:t>）</w:t>
            </w:r>
          </w:p>
        </w:tc>
        <w:tc>
          <w:tcPr>
            <w:tcW w:w="1779"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16"/>
                <w:highlight w:val="none"/>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23</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单位生产总值用水量降低（</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eastAsia="宋体" w:cs="Times New Roman"/>
                <w:color w:val="auto"/>
                <w:kern w:val="2"/>
                <w:sz w:val="24"/>
                <w:szCs w:val="24"/>
                <w:highlight w:val="none"/>
                <w:lang w:val="en-US" w:eastAsia="zh-CN"/>
              </w:rPr>
              <w:t>完成任务</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6"/>
                <w:szCs w:val="24"/>
                <w:highlight w:val="none"/>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24"/>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24</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16"/>
                <w:highlight w:val="none"/>
              </w:rPr>
            </w:pPr>
            <w:r>
              <w:rPr>
                <w:rFonts w:hint="eastAsia" w:ascii="Times New Roman" w:hAnsi="Times New Roman" w:eastAsia="宋体" w:cs="Times New Roman"/>
                <w:color w:val="auto"/>
                <w:kern w:val="2"/>
                <w:sz w:val="24"/>
                <w:szCs w:val="24"/>
                <w:highlight w:val="none"/>
              </w:rPr>
              <w:t>空气质量优良天数比率（</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w:t>
            </w:r>
          </w:p>
        </w:tc>
        <w:tc>
          <w:tcPr>
            <w:tcW w:w="1779"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eastAsia="宋体" w:cs="Times New Roman"/>
                <w:color w:val="auto"/>
                <w:kern w:val="2"/>
                <w:sz w:val="24"/>
                <w:szCs w:val="24"/>
                <w:highlight w:val="none"/>
                <w:lang w:val="en-US" w:eastAsia="zh-CN"/>
              </w:rPr>
              <w:t>完成任务</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25</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16"/>
                <w:highlight w:val="none"/>
              </w:rPr>
            </w:pPr>
            <w:r>
              <w:rPr>
                <w:rFonts w:hint="eastAsia" w:ascii="Times New Roman" w:hAnsi="Times New Roman" w:eastAsia="宋体" w:cs="Times New Roman"/>
                <w:color w:val="auto"/>
                <w:kern w:val="2"/>
                <w:sz w:val="24"/>
                <w:szCs w:val="16"/>
                <w:highlight w:val="none"/>
              </w:rPr>
              <w:t>达到或好于Ⅲ类水体占地表水比例</w:t>
            </w:r>
            <w:r>
              <w:rPr>
                <w:rFonts w:ascii="Times New Roman" w:hAnsi="Times New Roman" w:eastAsia="宋体" w:cs="Times New Roman"/>
                <w:color w:val="auto"/>
                <w:kern w:val="2"/>
                <w:sz w:val="24"/>
                <w:szCs w:val="16"/>
                <w:highlight w:val="none"/>
              </w:rPr>
              <w:t>(</w:t>
            </w:r>
            <w:r>
              <w:rPr>
                <w:rFonts w:hint="eastAsia" w:ascii="Times New Roman" w:hAnsi="Times New Roman" w:eastAsia="宋体" w:cs="Times New Roman"/>
                <w:color w:val="auto"/>
                <w:kern w:val="2"/>
                <w:sz w:val="24"/>
                <w:szCs w:val="16"/>
                <w:highlight w:val="none"/>
                <w:lang w:eastAsia="zh-CN"/>
              </w:rPr>
              <w:t>%</w:t>
            </w:r>
            <w:r>
              <w:rPr>
                <w:rFonts w:ascii="Times New Roman" w:hAnsi="Times New Roman" w:eastAsia="宋体" w:cs="Times New Roman"/>
                <w:color w:val="auto"/>
                <w:kern w:val="2"/>
                <w:sz w:val="24"/>
                <w:szCs w:val="16"/>
                <w:highlight w:val="none"/>
              </w:rPr>
              <w:t>)</w:t>
            </w:r>
          </w:p>
        </w:tc>
        <w:tc>
          <w:tcPr>
            <w:tcW w:w="1779"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eastAsia="宋体" w:cs="Times New Roman"/>
                <w:color w:val="auto"/>
                <w:kern w:val="2"/>
                <w:sz w:val="24"/>
                <w:szCs w:val="24"/>
                <w:highlight w:val="none"/>
                <w:lang w:val="en-US" w:eastAsia="zh-CN"/>
              </w:rPr>
              <w:t>完成任务</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bCs/>
                <w:color w:val="auto"/>
                <w:kern w:val="2"/>
                <w:sz w:val="24"/>
                <w:szCs w:val="24"/>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26</w:t>
            </w:r>
          </w:p>
        </w:tc>
        <w:tc>
          <w:tcPr>
            <w:tcW w:w="3391" w:type="dxa"/>
            <w:noWrap w:val="0"/>
            <w:vAlign w:val="center"/>
          </w:tcPr>
          <w:p>
            <w:pPr>
              <w:widowControl/>
              <w:spacing w:line="240" w:lineRule="auto"/>
              <w:ind w:firstLine="0" w:firstLineChars="0"/>
              <w:jc w:val="left"/>
              <w:textAlignment w:val="baseline"/>
              <w:rPr>
                <w:rFonts w:ascii="Times New Roman" w:hAnsi="Times New Roman" w:eastAsia="宋体" w:cs="Times New Roman"/>
                <w:color w:val="auto"/>
                <w:kern w:val="2"/>
                <w:sz w:val="24"/>
                <w:szCs w:val="16"/>
                <w:highlight w:val="none"/>
              </w:rPr>
            </w:pPr>
            <w:r>
              <w:rPr>
                <w:rFonts w:hint="eastAsia" w:ascii="Times New Roman" w:hAnsi="Times New Roman" w:eastAsia="宋体" w:cs="Times New Roman"/>
                <w:color w:val="auto"/>
                <w:kern w:val="2"/>
                <w:sz w:val="24"/>
                <w:szCs w:val="16"/>
                <w:highlight w:val="none"/>
              </w:rPr>
              <w:t>森林覆盖率（</w:t>
            </w:r>
            <w:r>
              <w:rPr>
                <w:rFonts w:hint="eastAsia" w:ascii="Times New Roman" w:hAnsi="Times New Roman" w:eastAsia="宋体" w:cs="Times New Roman"/>
                <w:color w:val="auto"/>
                <w:kern w:val="2"/>
                <w:sz w:val="24"/>
                <w:szCs w:val="16"/>
                <w:highlight w:val="none"/>
                <w:lang w:eastAsia="zh-CN"/>
              </w:rPr>
              <w:t>%</w:t>
            </w:r>
            <w:r>
              <w:rPr>
                <w:rFonts w:hint="eastAsia" w:ascii="Times New Roman" w:hAnsi="Times New Roman" w:eastAsia="宋体" w:cs="Times New Roman"/>
                <w:color w:val="auto"/>
                <w:kern w:val="2"/>
                <w:sz w:val="24"/>
                <w:szCs w:val="16"/>
                <w:highlight w:val="none"/>
              </w:rPr>
              <w:t>）</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16"/>
                <w:highlight w:val="none"/>
                <w:lang w:val="en-US" w:eastAsia="zh-CN"/>
              </w:rPr>
            </w:pPr>
            <w:r>
              <w:rPr>
                <w:rFonts w:hint="eastAsia" w:ascii="Times New Roman" w:hAnsi="Times New Roman" w:eastAsia="宋体" w:cs="Times New Roman"/>
                <w:color w:val="auto"/>
                <w:kern w:val="2"/>
                <w:sz w:val="24"/>
                <w:szCs w:val="16"/>
                <w:highlight w:val="none"/>
                <w:lang w:val="en-US" w:eastAsia="zh-CN"/>
              </w:rPr>
              <w:t>14.71</w:t>
            </w:r>
          </w:p>
        </w:tc>
        <w:tc>
          <w:tcPr>
            <w:tcW w:w="1523"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16"/>
                <w:highlight w:val="none"/>
                <w:lang w:val="en-US" w:eastAsia="zh-CN"/>
              </w:rPr>
            </w:pPr>
            <w:r>
              <w:rPr>
                <w:rFonts w:hint="eastAsia" w:ascii="Times New Roman" w:hAnsi="Times New Roman" w:eastAsia="宋体" w:cs="Times New Roman"/>
                <w:color w:val="auto"/>
                <w:kern w:val="2"/>
                <w:sz w:val="24"/>
                <w:szCs w:val="16"/>
                <w:highlight w:val="none"/>
                <w:lang w:val="en-US" w:eastAsia="zh-CN"/>
              </w:rPr>
              <w:t>17.18</w:t>
            </w:r>
          </w:p>
        </w:tc>
        <w:tc>
          <w:tcPr>
            <w:tcW w:w="891"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16"/>
                <w:highlight w:val="none"/>
                <w:lang w:val="en-US" w:eastAsia="zh-CN"/>
              </w:rPr>
            </w:pPr>
            <w:r>
              <w:rPr>
                <w:rFonts w:hint="eastAsia" w:ascii="Times New Roman" w:hAnsi="Times New Roman" w:eastAsia="宋体" w:cs="Times New Roman"/>
                <w:color w:val="auto"/>
                <w:kern w:val="2"/>
                <w:sz w:val="24"/>
                <w:szCs w:val="16"/>
                <w:highlight w:val="none"/>
                <w:lang w:val="en-US" w:eastAsia="zh-CN"/>
              </w:rPr>
              <w:t>3.2</w:t>
            </w: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48" w:type="dxa"/>
            <w:vMerge w:val="restart"/>
            <w:noWrap w:val="0"/>
            <w:vAlign w:val="center"/>
          </w:tcPr>
          <w:p>
            <w:pPr>
              <w:widowControl/>
              <w:spacing w:line="240" w:lineRule="auto"/>
              <w:ind w:firstLine="0" w:firstLineChars="0"/>
              <w:jc w:val="center"/>
              <w:textAlignment w:val="baseline"/>
              <w:rPr>
                <w:rFonts w:ascii="Times New Roman" w:hAnsi="Times New Roman" w:eastAsia="宋体" w:cs="Times New Roman"/>
                <w:b/>
                <w:color w:val="auto"/>
                <w:kern w:val="2"/>
                <w:sz w:val="24"/>
                <w:szCs w:val="16"/>
                <w:highlight w:val="none"/>
              </w:rPr>
            </w:pPr>
            <w:r>
              <w:rPr>
                <w:rFonts w:hint="eastAsia" w:ascii="Times New Roman" w:hAnsi="Times New Roman" w:eastAsia="宋体" w:cs="Times New Roman"/>
                <w:b/>
                <w:color w:val="auto"/>
                <w:kern w:val="2"/>
                <w:sz w:val="24"/>
                <w:szCs w:val="16"/>
                <w:highlight w:val="none"/>
              </w:rPr>
              <w:t>安全</w:t>
            </w:r>
            <w:r>
              <w:rPr>
                <w:rFonts w:ascii="Times New Roman" w:hAnsi="Times New Roman" w:eastAsia="宋体" w:cs="Times New Roman"/>
                <w:b/>
                <w:color w:val="auto"/>
                <w:kern w:val="2"/>
                <w:sz w:val="24"/>
                <w:szCs w:val="16"/>
                <w:highlight w:val="none"/>
              </w:rPr>
              <w:t xml:space="preserve">  </w:t>
            </w:r>
            <w:r>
              <w:rPr>
                <w:rFonts w:hint="eastAsia" w:ascii="Times New Roman" w:hAnsi="Times New Roman" w:eastAsia="宋体" w:cs="Times New Roman"/>
                <w:b/>
                <w:color w:val="auto"/>
                <w:kern w:val="2"/>
                <w:sz w:val="24"/>
                <w:szCs w:val="16"/>
                <w:highlight w:val="none"/>
              </w:rPr>
              <w:t>保障</w:t>
            </w: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27</w:t>
            </w:r>
          </w:p>
        </w:tc>
        <w:tc>
          <w:tcPr>
            <w:tcW w:w="3391" w:type="dxa"/>
            <w:noWrap w:val="0"/>
            <w:vAlign w:val="center"/>
          </w:tcPr>
          <w:p>
            <w:pPr>
              <w:widowControl/>
              <w:spacing w:line="240" w:lineRule="auto"/>
              <w:ind w:firstLine="0" w:firstLineChars="0"/>
              <w:textAlignment w:val="baseline"/>
              <w:rPr>
                <w:rFonts w:ascii="Times New Roman" w:hAnsi="Times New Roman" w:eastAsia="宋体" w:cs="Times New Roman"/>
                <w:color w:val="auto"/>
                <w:kern w:val="2"/>
                <w:sz w:val="24"/>
                <w:szCs w:val="16"/>
                <w:highlight w:val="none"/>
              </w:rPr>
            </w:pPr>
            <w:r>
              <w:rPr>
                <w:rFonts w:hint="eastAsia" w:ascii="Times New Roman" w:hAnsi="Times New Roman" w:eastAsia="宋体" w:cs="Times New Roman"/>
                <w:color w:val="auto"/>
                <w:kern w:val="2"/>
                <w:sz w:val="24"/>
                <w:szCs w:val="16"/>
                <w:highlight w:val="none"/>
              </w:rPr>
              <w:t>粮食综合生产能力（万吨）</w:t>
            </w:r>
          </w:p>
        </w:tc>
        <w:tc>
          <w:tcPr>
            <w:tcW w:w="1779"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16"/>
                <w:highlight w:val="none"/>
                <w:lang w:val="en-US" w:eastAsia="zh-CN"/>
              </w:rPr>
            </w:pPr>
            <w:r>
              <w:rPr>
                <w:rFonts w:hint="eastAsia" w:ascii="Times New Roman" w:hAnsi="Times New Roman" w:eastAsia="宋体" w:cs="Times New Roman"/>
                <w:color w:val="auto"/>
                <w:kern w:val="2"/>
                <w:sz w:val="24"/>
                <w:szCs w:val="16"/>
                <w:highlight w:val="none"/>
                <w:lang w:val="en-US" w:eastAsia="zh-CN"/>
              </w:rPr>
              <w:t>6.46</w:t>
            </w: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16"/>
                <w:highlight w:val="none"/>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48" w:type="dxa"/>
            <w:vMerge w:val="continue"/>
            <w:noWrap w:val="0"/>
            <w:vAlign w:val="center"/>
          </w:tcPr>
          <w:p>
            <w:pPr>
              <w:widowControl/>
              <w:spacing w:line="240" w:lineRule="auto"/>
              <w:ind w:firstLine="0" w:firstLineChars="0"/>
              <w:jc w:val="left"/>
              <w:textAlignment w:val="baseline"/>
              <w:rPr>
                <w:rFonts w:ascii="Times New Roman" w:hAnsi="Times New Roman" w:eastAsia="宋体" w:cs="Times New Roman"/>
                <w:b/>
                <w:color w:val="auto"/>
                <w:kern w:val="2"/>
                <w:sz w:val="24"/>
                <w:szCs w:val="16"/>
                <w:highlight w:val="none"/>
              </w:rPr>
            </w:pPr>
          </w:p>
        </w:tc>
        <w:tc>
          <w:tcPr>
            <w:tcW w:w="525" w:type="dxa"/>
            <w:noWrap w:val="0"/>
            <w:vAlign w:val="center"/>
          </w:tcPr>
          <w:p>
            <w:pPr>
              <w:widowControl/>
              <w:spacing w:line="240" w:lineRule="auto"/>
              <w:ind w:firstLine="0" w:firstLineChars="0"/>
              <w:jc w:val="center"/>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28</w:t>
            </w:r>
          </w:p>
        </w:tc>
        <w:tc>
          <w:tcPr>
            <w:tcW w:w="3391" w:type="dxa"/>
            <w:noWrap w:val="0"/>
            <w:vAlign w:val="center"/>
          </w:tcPr>
          <w:p>
            <w:pPr>
              <w:widowControl/>
              <w:spacing w:line="240" w:lineRule="auto"/>
              <w:ind w:firstLine="0" w:firstLineChars="0"/>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能源综合生产能力（万吨标准煤）</w:t>
            </w:r>
          </w:p>
        </w:tc>
        <w:tc>
          <w:tcPr>
            <w:tcW w:w="1779"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1523"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16"/>
                <w:highlight w:val="none"/>
              </w:rPr>
            </w:pPr>
            <w:r>
              <w:rPr>
                <w:rFonts w:hint="eastAsia" w:eastAsia="宋体" w:cs="Times New Roman"/>
                <w:color w:val="auto"/>
                <w:kern w:val="2"/>
                <w:sz w:val="24"/>
                <w:szCs w:val="24"/>
                <w:highlight w:val="none"/>
                <w:lang w:eastAsia="zh-CN"/>
              </w:rPr>
              <w:t>（由市</w:t>
            </w:r>
            <w:r>
              <w:rPr>
                <w:rFonts w:hint="eastAsia" w:eastAsia="宋体" w:cs="Times New Roman"/>
                <w:color w:val="auto"/>
                <w:kern w:val="2"/>
                <w:sz w:val="24"/>
                <w:szCs w:val="24"/>
                <w:highlight w:val="none"/>
                <w:lang w:val="en-US" w:eastAsia="zh-CN"/>
              </w:rPr>
              <w:t>下达</w:t>
            </w:r>
            <w:r>
              <w:rPr>
                <w:rFonts w:hint="eastAsia" w:eastAsia="宋体" w:cs="Times New Roman"/>
                <w:color w:val="auto"/>
                <w:kern w:val="2"/>
                <w:sz w:val="24"/>
                <w:szCs w:val="24"/>
                <w:highlight w:val="none"/>
                <w:lang w:eastAsia="zh-CN"/>
              </w:rPr>
              <w:t>）</w:t>
            </w:r>
          </w:p>
        </w:tc>
        <w:tc>
          <w:tcPr>
            <w:tcW w:w="891" w:type="dxa"/>
            <w:noWrap w:val="0"/>
            <w:vAlign w:val="center"/>
          </w:tcPr>
          <w:p>
            <w:pPr>
              <w:widowControl/>
              <w:spacing w:line="240" w:lineRule="auto"/>
              <w:ind w:firstLine="0" w:firstLineChars="0"/>
              <w:jc w:val="center"/>
              <w:textAlignment w:val="baseline"/>
              <w:rPr>
                <w:rFonts w:hint="eastAsia" w:ascii="Times New Roman" w:hAnsi="Times New Roman" w:eastAsia="宋体" w:cs="Times New Roman"/>
                <w:color w:val="auto"/>
                <w:kern w:val="2"/>
                <w:sz w:val="24"/>
                <w:szCs w:val="16"/>
                <w:highlight w:val="none"/>
                <w:lang w:val="en-US" w:eastAsia="zh-CN"/>
              </w:rPr>
            </w:pPr>
          </w:p>
        </w:tc>
        <w:tc>
          <w:tcPr>
            <w:tcW w:w="992" w:type="dxa"/>
            <w:noWrap w:val="0"/>
            <w:vAlign w:val="center"/>
          </w:tcPr>
          <w:p>
            <w:pPr>
              <w:widowControl/>
              <w:spacing w:line="240" w:lineRule="auto"/>
              <w:ind w:firstLine="0" w:firstLineChars="0"/>
              <w:jc w:val="center"/>
              <w:textAlignment w:val="baseline"/>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预期性</w:t>
            </w:r>
          </w:p>
        </w:tc>
      </w:tr>
    </w:tbl>
    <w:p>
      <w:pPr>
        <w:keepNext w:val="0"/>
        <w:keepLines w:val="0"/>
        <w:pageBreakBefore w:val="0"/>
        <w:widowControl/>
        <w:kinsoku/>
        <w:wordWrap/>
        <w:overflowPunct/>
        <w:topLinePunct w:val="0"/>
        <w:autoSpaceDE/>
        <w:autoSpaceDN/>
        <w:bidi w:val="0"/>
        <w:adjustRightInd/>
        <w:snapToGrid/>
        <w:spacing w:before="156" w:beforeLines="50" w:line="240" w:lineRule="auto"/>
        <w:ind w:firstLine="0" w:firstLineChars="0"/>
        <w:textAlignment w:val="baseline"/>
        <w:rPr>
          <w:rFonts w:ascii="Times New Roman" w:hAnsi="Times New Roman" w:eastAsia="宋体" w:cs="Times New Roman"/>
          <w:color w:val="auto"/>
          <w:kern w:val="0"/>
          <w:sz w:val="24"/>
          <w:szCs w:val="16"/>
          <w:highlight w:val="none"/>
        </w:rPr>
      </w:pPr>
      <w:r>
        <w:rPr>
          <w:rFonts w:hint="eastAsia" w:ascii="Times New Roman" w:hAnsi="Times New Roman" w:eastAsia="宋体" w:cs="Times New Roman"/>
          <w:color w:val="auto"/>
          <w:kern w:val="0"/>
          <w:sz w:val="24"/>
          <w:szCs w:val="16"/>
          <w:highlight w:val="none"/>
        </w:rPr>
        <w:t>注：</w:t>
      </w:r>
      <w:r>
        <w:rPr>
          <w:rFonts w:hint="eastAsia" w:ascii="Times New Roman" w:hAnsi="Times New Roman" w:eastAsia="宋体" w:cs="Times New Roman"/>
          <w:color w:val="auto"/>
          <w:kern w:val="0"/>
          <w:sz w:val="24"/>
          <w:szCs w:val="16"/>
          <w:highlight w:val="none"/>
          <w:lang w:eastAsia="zh-CN"/>
        </w:rPr>
        <w:t>1.</w:t>
      </w:r>
      <w:r>
        <w:rPr>
          <w:rFonts w:hint="eastAsia" w:ascii="Times New Roman" w:hAnsi="Times New Roman" w:eastAsia="宋体" w:cs="Times New Roman"/>
          <w:color w:val="auto"/>
          <w:kern w:val="0"/>
          <w:sz w:val="24"/>
          <w:szCs w:val="16"/>
          <w:highlight w:val="none"/>
        </w:rPr>
        <w:t>增加值绝对数按现行价计算，增长速度按可比价计算。</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baseline"/>
        <w:rPr>
          <w:rFonts w:ascii="Times New Roman" w:hAnsi="Times New Roman" w:eastAsia="宋体" w:cs="Times New Roman"/>
          <w:color w:val="auto"/>
          <w:kern w:val="0"/>
          <w:sz w:val="24"/>
          <w:szCs w:val="16"/>
          <w:highlight w:val="none"/>
        </w:rPr>
      </w:pPr>
      <w:r>
        <w:rPr>
          <w:rFonts w:hint="eastAsia" w:ascii="Times New Roman" w:hAnsi="Times New Roman" w:eastAsia="宋体" w:cs="Times New Roman"/>
          <w:color w:val="auto"/>
          <w:kern w:val="0"/>
          <w:sz w:val="24"/>
          <w:szCs w:val="16"/>
          <w:highlight w:val="none"/>
          <w:lang w:eastAsia="zh-CN"/>
        </w:rPr>
        <w:t>2.</w:t>
      </w:r>
      <w:r>
        <w:rPr>
          <w:rFonts w:hint="eastAsia" w:ascii="仿宋" w:hAnsi="仿宋" w:eastAsia="仿宋" w:cs="Times New Roman"/>
          <w:color w:val="auto"/>
          <w:kern w:val="0"/>
          <w:sz w:val="24"/>
          <w:szCs w:val="16"/>
          <w:highlight w:val="none"/>
        </w:rPr>
        <w:t>“</w:t>
      </w:r>
      <w:r>
        <w:rPr>
          <w:rFonts w:ascii="Times New Roman" w:hAnsi="Times New Roman" w:eastAsia="宋体" w:cs="Times New Roman"/>
          <w:color w:val="auto"/>
          <w:kern w:val="0"/>
          <w:sz w:val="24"/>
          <w:szCs w:val="16"/>
          <w:highlight w:val="none"/>
        </w:rPr>
        <w:t>[</w:t>
      </w:r>
      <w:r>
        <w:rPr>
          <w:rFonts w:hint="eastAsia" w:ascii="Times New Roman" w:hAnsi="Times New Roman" w:eastAsia="宋体" w:cs="Times New Roman"/>
          <w:color w:val="auto"/>
          <w:kern w:val="0"/>
          <w:sz w:val="24"/>
          <w:szCs w:val="16"/>
          <w:highlight w:val="none"/>
        </w:rPr>
        <w:t xml:space="preserve"> </w:t>
      </w:r>
      <w:r>
        <w:rPr>
          <w:rFonts w:ascii="Times New Roman" w:hAnsi="Times New Roman" w:eastAsia="宋体" w:cs="Times New Roman"/>
          <w:color w:val="auto"/>
          <w:kern w:val="0"/>
          <w:sz w:val="24"/>
          <w:szCs w:val="16"/>
          <w:highlight w:val="none"/>
        </w:rPr>
        <w:t>]</w:t>
      </w:r>
      <w:r>
        <w:rPr>
          <w:rFonts w:hint="eastAsia" w:ascii="仿宋" w:hAnsi="仿宋" w:eastAsia="仿宋" w:cs="Times New Roman"/>
          <w:color w:val="auto"/>
          <w:kern w:val="0"/>
          <w:sz w:val="24"/>
          <w:szCs w:val="16"/>
          <w:highlight w:val="none"/>
        </w:rPr>
        <w:t>”</w:t>
      </w:r>
      <w:r>
        <w:rPr>
          <w:rFonts w:hint="eastAsia" w:ascii="Times New Roman" w:hAnsi="Times New Roman" w:eastAsia="宋体" w:cs="Times New Roman"/>
          <w:color w:val="auto"/>
          <w:kern w:val="0"/>
          <w:sz w:val="24"/>
          <w:szCs w:val="16"/>
          <w:highlight w:val="none"/>
        </w:rPr>
        <w:t>号的数为五年累计数。</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baseline"/>
        <w:rPr>
          <w:rFonts w:hint="eastAsia" w:ascii="Times New Roman" w:hAnsi="Times New Roman" w:eastAsia="宋体" w:cs="Times New Roman"/>
          <w:color w:val="auto"/>
          <w:sz w:val="24"/>
          <w:szCs w:val="16"/>
          <w:highlight w:val="none"/>
          <w:lang w:val="en-US" w:eastAsia="zh-CN" w:bidi="ar-SA"/>
        </w:rPr>
      </w:pPr>
      <w:r>
        <w:rPr>
          <w:rFonts w:hint="eastAsia" w:ascii="Times New Roman" w:hAnsi="Times New Roman" w:eastAsia="宋体" w:cs="Times New Roman"/>
          <w:color w:val="auto"/>
          <w:sz w:val="24"/>
          <w:szCs w:val="16"/>
          <w:highlight w:val="none"/>
          <w:lang w:val="en-US" w:eastAsia="zh-CN" w:bidi="ar-SA"/>
        </w:rPr>
        <w:t>3.城镇职工基本养老保险参保人数指标采用新统计口径。</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baseline"/>
        <w:rPr>
          <w:rFonts w:hint="default" w:ascii="Times New Roman" w:hAnsi="Times New Roman" w:eastAsia="宋体" w:cs="Times New Roman"/>
          <w:color w:val="auto"/>
          <w:sz w:val="24"/>
          <w:szCs w:val="16"/>
          <w:highlight w:val="none"/>
          <w:lang w:val="en-US" w:eastAsia="zh-CN" w:bidi="ar-SA"/>
        </w:rPr>
      </w:pPr>
      <w:r>
        <w:rPr>
          <w:rFonts w:hint="eastAsia" w:ascii="Times New Roman" w:hAnsi="Times New Roman" w:eastAsia="宋体" w:cs="Times New Roman"/>
          <w:color w:val="auto"/>
          <w:sz w:val="24"/>
          <w:szCs w:val="16"/>
          <w:highlight w:val="none"/>
          <w:lang w:val="en-US" w:eastAsia="zh-CN" w:bidi="ar-SA"/>
        </w:rPr>
        <w:t>4.</w:t>
      </w:r>
      <w:r>
        <w:rPr>
          <w:rFonts w:hint="eastAsia" w:eastAsia="宋体" w:cs="Times New Roman"/>
          <w:color w:val="auto"/>
          <w:sz w:val="24"/>
          <w:szCs w:val="16"/>
          <w:highlight w:val="none"/>
          <w:lang w:val="en-US" w:eastAsia="zh-CN" w:bidi="ar-SA"/>
        </w:rPr>
        <w:t xml:space="preserve">研发经费投入增长、单位 </w:t>
      </w:r>
      <w:r>
        <w:rPr>
          <w:rFonts w:hint="eastAsia" w:ascii="Times New Roman" w:hAnsi="Times New Roman" w:eastAsia="宋体" w:cs="Times New Roman"/>
          <w:color w:val="auto"/>
          <w:sz w:val="24"/>
          <w:szCs w:val="16"/>
          <w:highlight w:val="none"/>
          <w:lang w:val="en-US" w:eastAsia="zh-CN" w:bidi="ar-SA"/>
        </w:rPr>
        <w:t>GDP</w:t>
      </w:r>
      <w:r>
        <w:rPr>
          <w:rFonts w:hint="eastAsia" w:eastAsia="宋体" w:cs="Times New Roman"/>
          <w:color w:val="auto"/>
          <w:sz w:val="24"/>
          <w:szCs w:val="16"/>
          <w:highlight w:val="none"/>
          <w:lang w:val="en-US" w:eastAsia="zh-CN" w:bidi="ar-SA"/>
        </w:rPr>
        <w:t xml:space="preserve"> 能耗降低、单位 </w:t>
      </w:r>
      <w:r>
        <w:rPr>
          <w:rFonts w:hint="eastAsia" w:ascii="Times New Roman" w:hAnsi="Times New Roman" w:eastAsia="宋体" w:cs="Times New Roman"/>
          <w:color w:val="auto"/>
          <w:sz w:val="24"/>
          <w:szCs w:val="16"/>
          <w:highlight w:val="none"/>
          <w:lang w:val="en-US" w:eastAsia="zh-CN" w:bidi="ar-SA"/>
        </w:rPr>
        <w:t>GDP</w:t>
      </w:r>
      <w:r>
        <w:rPr>
          <w:rFonts w:hint="eastAsia" w:eastAsia="宋体" w:cs="Times New Roman"/>
          <w:color w:val="auto"/>
          <w:sz w:val="24"/>
          <w:szCs w:val="16"/>
          <w:highlight w:val="none"/>
          <w:lang w:val="en-US" w:eastAsia="zh-CN" w:bidi="ar-SA"/>
        </w:rPr>
        <w:t xml:space="preserve"> 二氧化碳排放降低、能源综合生产能力等指标</w:t>
      </w:r>
      <w:r>
        <w:rPr>
          <w:rFonts w:hint="eastAsia" w:ascii="Times New Roman" w:hAnsi="Times New Roman" w:eastAsia="宋体" w:cs="Times New Roman"/>
          <w:color w:val="auto"/>
          <w:sz w:val="24"/>
          <w:szCs w:val="16"/>
          <w:highlight w:val="none"/>
          <w:lang w:val="en-US" w:eastAsia="zh-CN" w:bidi="ar-SA"/>
        </w:rPr>
        <w:t>2020</w:t>
      </w:r>
      <w:r>
        <w:rPr>
          <w:rFonts w:hint="eastAsia" w:eastAsia="宋体" w:cs="Times New Roman"/>
          <w:color w:val="auto"/>
          <w:sz w:val="24"/>
          <w:szCs w:val="16"/>
          <w:highlight w:val="none"/>
          <w:lang w:val="en-US" w:eastAsia="zh-CN" w:bidi="ar-SA"/>
        </w:rPr>
        <w:t>年完成数尚未公布。</w:t>
      </w:r>
    </w:p>
    <w:p>
      <w:pPr>
        <w:ind w:firstLine="640"/>
        <w:rPr>
          <w:color w:val="auto"/>
          <w:highlight w:val="none"/>
        </w:rPr>
      </w:pP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63" w:name="_Toc53003160"/>
      <w:bookmarkStart w:id="64" w:name="_Toc15238"/>
      <w:bookmarkStart w:id="65" w:name="_Toc11169"/>
      <w:bookmarkStart w:id="66" w:name="_Toc17347"/>
      <w:bookmarkStart w:id="67" w:name="_Toc22631"/>
      <w:bookmarkStart w:id="68" w:name="_Toc11150"/>
      <w:bookmarkStart w:id="69" w:name="_Toc9240"/>
      <w:r>
        <w:rPr>
          <w:color w:val="auto"/>
          <w:highlight w:val="none"/>
        </w:rPr>
        <w:t xml:space="preserve">第三章  </w:t>
      </w:r>
      <w:bookmarkEnd w:id="63"/>
      <w:bookmarkEnd w:id="64"/>
      <w:bookmarkEnd w:id="65"/>
      <w:bookmarkEnd w:id="66"/>
      <w:bookmarkEnd w:id="67"/>
      <w:bookmarkEnd w:id="68"/>
      <w:r>
        <w:rPr>
          <w:rFonts w:hint="eastAsia"/>
          <w:color w:val="auto"/>
          <w:highlight w:val="none"/>
        </w:rPr>
        <w:t>坚持创新驱动 激发科技引领新动能</w:t>
      </w:r>
      <w:bookmarkEnd w:id="69"/>
    </w:p>
    <w:p>
      <w:pPr>
        <w:ind w:firstLine="640"/>
        <w:rPr>
          <w:color w:val="auto"/>
          <w:highlight w:val="none"/>
        </w:rPr>
      </w:pPr>
      <w:r>
        <w:rPr>
          <w:color w:val="auto"/>
          <w:highlight w:val="none"/>
        </w:rPr>
        <w:t>把握湛江国家高新区海东园区建设战略契机，深入实施创新驱动发展战略。推进</w:t>
      </w:r>
      <w:r>
        <w:rPr>
          <w:rFonts w:hint="eastAsia"/>
          <w:color w:val="auto"/>
          <w:highlight w:val="none"/>
          <w:lang w:val="en-US" w:eastAsia="zh-CN"/>
        </w:rPr>
        <w:t>湛江湾实验室、</w:t>
      </w:r>
      <w:r>
        <w:rPr>
          <w:color w:val="auto"/>
          <w:highlight w:val="none"/>
        </w:rPr>
        <w:t>广东医科大学新校区</w:t>
      </w:r>
      <w:r>
        <w:rPr>
          <w:rFonts w:hint="eastAsia"/>
          <w:color w:val="auto"/>
          <w:highlight w:val="none"/>
          <w:lang w:val="en-US" w:eastAsia="zh-CN"/>
        </w:rPr>
        <w:t>等</w:t>
      </w:r>
      <w:r>
        <w:rPr>
          <w:color w:val="auto"/>
          <w:highlight w:val="none"/>
        </w:rPr>
        <w:t>重大平台建设，营造创新优良环境，</w:t>
      </w:r>
      <w:r>
        <w:rPr>
          <w:rFonts w:hint="eastAsia"/>
          <w:color w:val="auto"/>
          <w:highlight w:val="none"/>
          <w:lang w:val="en-US" w:eastAsia="zh-CN"/>
        </w:rPr>
        <w:t>培育创新型企业，</w:t>
      </w:r>
      <w:r>
        <w:rPr>
          <w:color w:val="auto"/>
          <w:highlight w:val="none"/>
        </w:rPr>
        <w:t>引进高端创新人才，全力打造坡头</w:t>
      </w:r>
      <w:r>
        <w:rPr>
          <w:rFonts w:hint="eastAsia"/>
          <w:color w:val="auto"/>
          <w:highlight w:val="none"/>
        </w:rPr>
        <w:t>“</w:t>
      </w:r>
      <w:r>
        <w:rPr>
          <w:color w:val="auto"/>
          <w:highlight w:val="none"/>
        </w:rPr>
        <w:t>区域创新中心</w:t>
      </w:r>
      <w:r>
        <w:rPr>
          <w:rFonts w:hint="eastAsia"/>
          <w:color w:val="auto"/>
          <w:highlight w:val="none"/>
        </w:rPr>
        <w:t>”</w:t>
      </w:r>
      <w:r>
        <w:rPr>
          <w:color w:val="auto"/>
          <w:highlight w:val="none"/>
        </w:rPr>
        <w:t>品牌，建成</w:t>
      </w:r>
      <w:r>
        <w:rPr>
          <w:rFonts w:hint="eastAsia"/>
          <w:color w:val="auto"/>
          <w:highlight w:val="none"/>
          <w:lang w:eastAsia="zh-CN"/>
        </w:rPr>
        <w:t>国家沿海经济带先行区科创中心</w:t>
      </w:r>
      <w:r>
        <w:rPr>
          <w:color w:val="auto"/>
          <w:highlight w:val="none"/>
        </w:rPr>
        <w:t>。</w:t>
      </w:r>
    </w:p>
    <w:p>
      <w:pPr>
        <w:pStyle w:val="4"/>
        <w:spacing w:before="62" w:after="62"/>
        <w:ind w:firstLine="0"/>
        <w:jc w:val="center"/>
        <w:rPr>
          <w:rFonts w:hint="default" w:ascii="宋体" w:hAnsi="宋体"/>
          <w:color w:val="auto"/>
          <w:highlight w:val="none"/>
        </w:rPr>
      </w:pPr>
      <w:bookmarkStart w:id="70" w:name="_Toc16765"/>
      <w:bookmarkStart w:id="71" w:name="_Toc53003162"/>
      <w:r>
        <w:rPr>
          <w:rFonts w:hint="default" w:ascii="宋体" w:hAnsi="宋体"/>
          <w:color w:val="auto"/>
          <w:highlight w:val="none"/>
        </w:rPr>
        <w:t xml:space="preserve">第一节 </w:t>
      </w:r>
      <w:r>
        <w:rPr>
          <w:rFonts w:hint="eastAsia" w:ascii="宋体" w:hAnsi="宋体"/>
          <w:color w:val="auto"/>
          <w:highlight w:val="none"/>
          <w:lang w:val="en-US" w:eastAsia="zh-CN"/>
        </w:rPr>
        <w:t>高标准建设国家级高新区</w:t>
      </w:r>
      <w:bookmarkEnd w:id="70"/>
    </w:p>
    <w:p>
      <w:pPr>
        <w:ind w:firstLine="640"/>
        <w:rPr>
          <w:rFonts w:hint="eastAsia"/>
          <w:color w:val="auto"/>
          <w:highlight w:val="none"/>
          <w:lang w:eastAsia="zh-CN"/>
        </w:rPr>
      </w:pPr>
      <w:r>
        <w:rPr>
          <w:color w:val="auto"/>
          <w:highlight w:val="none"/>
        </w:rPr>
        <w:t>围绕</w:t>
      </w:r>
      <w:r>
        <w:rPr>
          <w:rFonts w:hint="eastAsia"/>
          <w:color w:val="auto"/>
          <w:highlight w:val="none"/>
          <w:lang w:val="en-US" w:eastAsia="zh-CN"/>
        </w:rPr>
        <w:t>湛江高新区</w:t>
      </w:r>
      <w:r>
        <w:rPr>
          <w:color w:val="auto"/>
          <w:highlight w:val="none"/>
        </w:rPr>
        <w:t>海东园区</w:t>
      </w:r>
      <w:r>
        <w:rPr>
          <w:rFonts w:hint="eastAsia"/>
          <w:color w:val="auto"/>
          <w:highlight w:val="none"/>
        </w:rPr>
        <w:t>“</w:t>
      </w:r>
      <w:r>
        <w:rPr>
          <w:color w:val="auto"/>
          <w:highlight w:val="none"/>
        </w:rPr>
        <w:t>广东省海洋科技创新策源地</w:t>
      </w:r>
      <w:r>
        <w:rPr>
          <w:rFonts w:hint="eastAsia"/>
          <w:color w:val="auto"/>
          <w:highlight w:val="none"/>
        </w:rPr>
        <w:t>”“</w:t>
      </w:r>
      <w:r>
        <w:rPr>
          <w:color w:val="auto"/>
          <w:highlight w:val="none"/>
        </w:rPr>
        <w:t>湛江市高新技术产业研发中心</w:t>
      </w:r>
      <w:r>
        <w:rPr>
          <w:rFonts w:hint="eastAsia"/>
          <w:color w:val="auto"/>
          <w:highlight w:val="none"/>
        </w:rPr>
        <w:t>”</w:t>
      </w:r>
      <w:r>
        <w:rPr>
          <w:color w:val="auto"/>
          <w:highlight w:val="none"/>
        </w:rPr>
        <w:t>战略定位，</w:t>
      </w:r>
      <w:r>
        <w:rPr>
          <w:rFonts w:hint="eastAsia"/>
          <w:color w:val="auto"/>
          <w:highlight w:val="none"/>
        </w:rPr>
        <w:t>充分释放以湛江湾实验室为代表的创新源头供给优势，</w:t>
      </w:r>
      <w:r>
        <w:rPr>
          <w:rFonts w:hint="eastAsia"/>
          <w:color w:val="auto"/>
          <w:highlight w:val="none"/>
          <w:lang w:val="en-US" w:eastAsia="zh-CN"/>
        </w:rPr>
        <w:t>打造</w:t>
      </w:r>
      <w:r>
        <w:rPr>
          <w:rFonts w:hint="eastAsia"/>
          <w:color w:val="auto"/>
          <w:highlight w:val="none"/>
        </w:rPr>
        <w:t>成为中国最具海洋特色的高新技术产业集聚区、广东创新驱动发展的重要平台、粤西地区创新驱动发展示范区和高质量发展先行区</w:t>
      </w:r>
      <w:r>
        <w:rPr>
          <w:rFonts w:hint="eastAsia"/>
          <w:color w:val="auto"/>
          <w:highlight w:val="none"/>
          <w:lang w:eastAsia="zh-CN"/>
        </w:rPr>
        <w:t>，</w:t>
      </w:r>
      <w:r>
        <w:rPr>
          <w:rFonts w:hint="eastAsia" w:ascii="Times New Roman" w:hAnsi="Times New Roman" w:eastAsia="仿宋" w:cs="Times New Roman"/>
          <w:color w:val="auto"/>
          <w:kern w:val="2"/>
          <w:sz w:val="32"/>
          <w:szCs w:val="22"/>
          <w:highlight w:val="none"/>
          <w:lang w:val="en-US" w:eastAsia="zh-CN" w:bidi="ar-SA"/>
        </w:rPr>
        <w:t>到</w:t>
      </w:r>
      <w:r>
        <w:rPr>
          <w:rFonts w:hint="eastAsia" w:ascii="Times New Roman" w:hAnsi="Times New Roman" w:cs="Times New Roman"/>
          <w:color w:val="auto"/>
          <w:kern w:val="2"/>
          <w:sz w:val="32"/>
          <w:szCs w:val="22"/>
          <w:highlight w:val="none"/>
          <w:lang w:val="en-US" w:eastAsia="zh-CN" w:bidi="ar-SA"/>
        </w:rPr>
        <w:t>2025</w:t>
      </w:r>
      <w:r>
        <w:rPr>
          <w:rFonts w:hint="eastAsia" w:ascii="Times New Roman" w:hAnsi="Times New Roman" w:eastAsia="仿宋" w:cs="Times New Roman"/>
          <w:color w:val="auto"/>
          <w:kern w:val="2"/>
          <w:sz w:val="32"/>
          <w:szCs w:val="22"/>
          <w:highlight w:val="none"/>
          <w:lang w:val="en-US" w:eastAsia="zh-CN" w:bidi="ar-SA"/>
        </w:rPr>
        <w:t>年，进入全国高新区综合排名前</w:t>
      </w:r>
      <w:r>
        <w:rPr>
          <w:rFonts w:hint="eastAsia" w:ascii="Times New Roman" w:hAnsi="Times New Roman" w:cs="Times New Roman"/>
          <w:color w:val="auto"/>
          <w:kern w:val="2"/>
          <w:sz w:val="32"/>
          <w:szCs w:val="22"/>
          <w:highlight w:val="none"/>
          <w:lang w:val="en-US" w:eastAsia="zh-CN" w:bidi="ar-SA"/>
        </w:rPr>
        <w:t>100</w:t>
      </w:r>
      <w:r>
        <w:rPr>
          <w:rFonts w:hint="eastAsia" w:ascii="Times New Roman" w:hAnsi="Times New Roman" w:eastAsia="仿宋" w:cs="Times New Roman"/>
          <w:color w:val="auto"/>
          <w:kern w:val="2"/>
          <w:sz w:val="32"/>
          <w:szCs w:val="22"/>
          <w:highlight w:val="none"/>
          <w:lang w:val="en-US" w:eastAsia="zh-CN" w:bidi="ar-SA"/>
        </w:rPr>
        <w:t>名。</w:t>
      </w:r>
    </w:p>
    <w:p>
      <w:pPr>
        <w:ind w:firstLine="0" w:firstLineChars="0"/>
        <w:jc w:val="center"/>
        <w:rPr>
          <w:color w:val="auto"/>
          <w:highlight w:val="none"/>
        </w:rPr>
      </w:pPr>
      <w:r>
        <w:rPr>
          <w:color w:val="auto"/>
          <w:highlight w:val="none"/>
        </w:rPr>
        <w:drawing>
          <wp:inline distT="0" distB="0" distL="114300" distR="114300">
            <wp:extent cx="4162425" cy="2823845"/>
            <wp:effectExtent l="9525" t="9525" r="19050" b="2413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15"/>
                    <a:stretch>
                      <a:fillRect/>
                    </a:stretch>
                  </pic:blipFill>
                  <pic:spPr>
                    <a:xfrm>
                      <a:off x="0" y="0"/>
                      <a:ext cx="4162425" cy="2823845"/>
                    </a:xfrm>
                    <a:prstGeom prst="rect">
                      <a:avLst/>
                    </a:prstGeom>
                    <a:noFill/>
                    <a:ln>
                      <a:solidFill>
                        <a:schemeClr val="tx1"/>
                      </a:solidFill>
                    </a:ln>
                  </pic:spPr>
                </pic:pic>
              </a:graphicData>
            </a:graphic>
          </wp:inline>
        </w:drawing>
      </w:r>
    </w:p>
    <w:p>
      <w:pPr>
        <w:ind w:firstLine="0" w:firstLineChars="0"/>
        <w:jc w:val="center"/>
        <w:rPr>
          <w:rFonts w:hint="eastAsia"/>
          <w:color w:val="auto"/>
          <w:highlight w:val="none"/>
          <w:lang w:eastAsia="zh-CN"/>
        </w:rPr>
      </w:pPr>
      <w:r>
        <w:rPr>
          <w:rFonts w:hint="eastAsia" w:ascii="宋体" w:hAnsi="宋体" w:eastAsia="宋体" w:cs="宋体"/>
          <w:b/>
          <w:bCs/>
          <w:color w:val="auto"/>
          <w:sz w:val="28"/>
          <w:szCs w:val="18"/>
          <w:highlight w:val="none"/>
        </w:rPr>
        <w:t>图</w:t>
      </w:r>
      <w:r>
        <w:rPr>
          <w:rFonts w:hint="eastAsia" w:ascii="Times New Roman" w:hAnsi="Times New Roman" w:eastAsia="宋体" w:cs="宋体"/>
          <w:b/>
          <w:bCs/>
          <w:color w:val="auto"/>
          <w:sz w:val="28"/>
          <w:szCs w:val="18"/>
          <w:highlight w:val="none"/>
          <w:lang w:eastAsia="zh-CN"/>
        </w:rPr>
        <w:t>3</w:t>
      </w:r>
      <w:r>
        <w:rPr>
          <w:rFonts w:hint="eastAsia" w:ascii="宋体" w:hAnsi="宋体" w:eastAsia="宋体" w:cs="宋体"/>
          <w:b/>
          <w:bCs/>
          <w:color w:val="auto"/>
          <w:sz w:val="28"/>
          <w:szCs w:val="18"/>
          <w:highlight w:val="none"/>
        </w:rPr>
        <w:t>-</w:t>
      </w:r>
      <w:r>
        <w:rPr>
          <w:rFonts w:hint="eastAsia" w:ascii="Times New Roman" w:hAnsi="Times New Roman" w:eastAsia="宋体" w:cs="宋体"/>
          <w:b/>
          <w:bCs/>
          <w:color w:val="auto"/>
          <w:sz w:val="28"/>
          <w:szCs w:val="18"/>
          <w:highlight w:val="none"/>
          <w:lang w:eastAsia="zh-CN"/>
        </w:rPr>
        <w:t>1</w:t>
      </w:r>
      <w:r>
        <w:rPr>
          <w:rFonts w:hint="eastAsia" w:ascii="宋体" w:hAnsi="宋体" w:eastAsia="宋体" w:cs="宋体"/>
          <w:b/>
          <w:bCs/>
          <w:color w:val="auto"/>
          <w:sz w:val="28"/>
          <w:szCs w:val="18"/>
          <w:highlight w:val="none"/>
        </w:rPr>
        <w:t xml:space="preserve">  湛江高新区海东园区规划示意图</w:t>
      </w:r>
    </w:p>
    <w:p>
      <w:pPr>
        <w:pStyle w:val="2"/>
        <w:rPr>
          <w:rFonts w:hint="eastAsia" w:ascii="Times New Roman" w:hAnsi="Times New Roman" w:eastAsia="仿宋" w:cs="Times New Roman"/>
          <w:color w:val="auto"/>
          <w:kern w:val="2"/>
          <w:sz w:val="32"/>
          <w:szCs w:val="22"/>
          <w:highlight w:val="none"/>
          <w:lang w:val="en-US" w:eastAsia="zh-CN" w:bidi="ar-SA"/>
        </w:rPr>
      </w:pPr>
      <w:r>
        <w:rPr>
          <w:rFonts w:hint="eastAsia" w:ascii="Times New Roman" w:hAnsi="Times New Roman" w:eastAsia="仿宋" w:cs="Times New Roman"/>
          <w:b/>
          <w:bCs/>
          <w:color w:val="auto"/>
          <w:kern w:val="2"/>
          <w:sz w:val="32"/>
          <w:szCs w:val="22"/>
          <w:highlight w:val="none"/>
          <w:lang w:val="en-US" w:eastAsia="zh-CN" w:bidi="ar-SA"/>
        </w:rPr>
        <w:t>加快湛江湾实验室建设。</w:t>
      </w:r>
      <w:r>
        <w:rPr>
          <w:rFonts w:hint="eastAsia" w:ascii="Times New Roman" w:hAnsi="Times New Roman" w:eastAsia="仿宋" w:cs="Times New Roman"/>
          <w:color w:val="auto"/>
          <w:kern w:val="2"/>
          <w:sz w:val="32"/>
          <w:szCs w:val="22"/>
          <w:highlight w:val="none"/>
          <w:lang w:val="en-US" w:eastAsia="zh-CN" w:bidi="ar-SA"/>
        </w:rPr>
        <w:t>把握国家实验室建设机遇，</w:t>
      </w:r>
      <w:r>
        <w:rPr>
          <w:rFonts w:hint="eastAsia" w:ascii="Times New Roman" w:hAnsi="Times New Roman" w:eastAsia="仿宋" w:cs="Times New Roman"/>
          <w:b w:val="0"/>
          <w:bCs w:val="0"/>
          <w:color w:val="auto"/>
          <w:kern w:val="2"/>
          <w:sz w:val="32"/>
          <w:szCs w:val="22"/>
          <w:highlight w:val="none"/>
          <w:lang w:val="en-US" w:eastAsia="zh-CN" w:bidi="ar-SA"/>
        </w:rPr>
        <w:t>对标国内一流实验室，加快高新区海东园区基础设施建设，完成龙王湾研发基地、龙王湾科研码头以及湛江湾实验室二期装修项目等修建工作。</w:t>
      </w:r>
      <w:r>
        <w:rPr>
          <w:rFonts w:hint="eastAsia" w:ascii="Times New Roman" w:hAnsi="Times New Roman" w:eastAsia="仿宋" w:cs="Times New Roman"/>
          <w:color w:val="auto"/>
          <w:kern w:val="2"/>
          <w:sz w:val="32"/>
          <w:szCs w:val="22"/>
          <w:highlight w:val="none"/>
          <w:lang w:val="en-US" w:eastAsia="zh-CN" w:bidi="ar-SA"/>
        </w:rPr>
        <w:t>支持实验室围绕海洋生物、海洋能源、海洋装备等领域开展应用基础研究与应用技术开发，重点突破深远海智能渔业养殖装备、南海特色食药资源开发与高质化利用、南海油气开发等细分领域的关键性技术问题。建设南海资源大数据中心、智能船舶海上实验场等创新平台，搭建海洋智能装备试验验证技术体系，加快建成国内一流的海洋高新技术研发中心。争取国家实验室、国家实验室网络成员和国家研究中心等一批国家重大创新平台在海东园区设立基地或分支机构。积极引进省实验室或分中心，加强与深圳鹏城实验室深度交流合作，高水平建好鹏城国家实验室湛江分中心，建好海洋科技研发及成果展示交流中心、湛江海洋科技研究中心水下机器人试验基地、湛江海洋科技研究中心服务保障基地等重要创新平台。</w:t>
      </w:r>
    </w:p>
    <w:p>
      <w:pPr>
        <w:bidi w:val="0"/>
        <w:rPr>
          <w:rFonts w:hint="eastAsia"/>
          <w:color w:val="auto"/>
          <w:highlight w:val="none"/>
          <w:lang w:val="en-US" w:eastAsia="zh-CN"/>
        </w:rPr>
      </w:pPr>
      <w:r>
        <w:rPr>
          <w:rFonts w:hint="eastAsia"/>
          <w:b/>
          <w:bCs/>
          <w:color w:val="auto"/>
          <w:highlight w:val="none"/>
        </w:rPr>
        <w:t>推动建设广东医科大学海东校区</w:t>
      </w:r>
      <w:r>
        <w:rPr>
          <w:rFonts w:hint="eastAsia"/>
          <w:b/>
          <w:bCs/>
          <w:color w:val="auto"/>
          <w:highlight w:val="none"/>
          <w:lang w:eastAsia="zh-CN"/>
        </w:rPr>
        <w:t>。</w:t>
      </w:r>
      <w:r>
        <w:rPr>
          <w:rFonts w:hint="eastAsia"/>
          <w:color w:val="auto"/>
          <w:highlight w:val="none"/>
        </w:rPr>
        <w:t>充分发挥广东医科大学临床医学、医学检验技术、药理学与毒理学等学科优势，加强与生物医药企业的产学研合作，联合开展药物研发，为企业提供检验检测、临床</w:t>
      </w:r>
      <w:r>
        <w:rPr>
          <w:rFonts w:hint="eastAsia"/>
          <w:color w:val="auto"/>
          <w:highlight w:val="none"/>
          <w:lang w:val="en-US" w:eastAsia="zh-CN"/>
        </w:rPr>
        <w:t>试验</w:t>
      </w:r>
      <w:r>
        <w:rPr>
          <w:rFonts w:hint="eastAsia"/>
          <w:color w:val="auto"/>
          <w:highlight w:val="none"/>
        </w:rPr>
        <w:t>、病理学研究等技术支</w:t>
      </w:r>
      <w:r>
        <w:rPr>
          <w:rFonts w:hint="eastAsia"/>
          <w:color w:val="auto"/>
          <w:szCs w:val="22"/>
          <w:highlight w:val="none"/>
        </w:rPr>
        <w:t>撑；与广东医科大学附属医院新院区开展教、研、用协同，推动人才培养和科研成果应用。探索对接清华大学、中山</w:t>
      </w:r>
      <w:r>
        <w:rPr>
          <w:rFonts w:hint="eastAsia"/>
          <w:color w:val="auto"/>
          <w:highlight w:val="none"/>
        </w:rPr>
        <w:t>大学、华南理工大学、中国海洋大学等全国重点理工类、海洋类高校，在高新区设立分校区、研究生院、二级学院等分支机构，建设产学研基地。</w:t>
      </w:r>
      <w:r>
        <w:rPr>
          <w:rFonts w:hint="eastAsia"/>
          <w:color w:val="auto"/>
          <w:highlight w:val="none"/>
          <w:lang w:val="en-US" w:eastAsia="zh-CN"/>
        </w:rPr>
        <w:t>吸引生物医药企业</w:t>
      </w:r>
      <w:r>
        <w:rPr>
          <w:rFonts w:hint="eastAsia"/>
          <w:color w:val="auto"/>
          <w:highlight w:val="none"/>
        </w:rPr>
        <w:t>围绕创新药物研发、高端医疗器械、精准医疗、海洋生物医药等领域，攻克关键核心技术，强化科研成果的转移转化。</w:t>
      </w:r>
    </w:p>
    <w:p>
      <w:pPr>
        <w:rPr>
          <w:rFonts w:hint="eastAsia"/>
          <w:color w:val="auto"/>
          <w:highlight w:val="none"/>
          <w:lang w:eastAsia="zh-CN"/>
        </w:rPr>
      </w:pPr>
      <w:r>
        <w:rPr>
          <w:rFonts w:hint="eastAsia"/>
          <w:b/>
          <w:bCs/>
          <w:color w:val="auto"/>
          <w:highlight w:val="none"/>
          <w:lang w:eastAsia="zh-CN"/>
        </w:rPr>
        <w:t>支持各类</w:t>
      </w:r>
      <w:r>
        <w:rPr>
          <w:rFonts w:hint="eastAsia"/>
          <w:b/>
          <w:bCs/>
          <w:color w:val="auto"/>
          <w:highlight w:val="none"/>
          <w:lang w:val="en-US" w:eastAsia="zh-CN"/>
        </w:rPr>
        <w:t>高新</w:t>
      </w:r>
      <w:r>
        <w:rPr>
          <w:rFonts w:hint="eastAsia"/>
          <w:b/>
          <w:bCs/>
          <w:color w:val="auto"/>
          <w:highlight w:val="none"/>
          <w:lang w:eastAsia="zh-CN"/>
        </w:rPr>
        <w:t>企业研发机构建设。</w:t>
      </w:r>
      <w:r>
        <w:rPr>
          <w:rFonts w:hint="eastAsia"/>
          <w:color w:val="auto"/>
          <w:highlight w:val="none"/>
          <w:lang w:eastAsia="zh-CN"/>
        </w:rPr>
        <w:t>推动中海油、湛江钢铁、中科炼化、巴斯夫等行业龙头企业在</w:t>
      </w:r>
      <w:r>
        <w:rPr>
          <w:rFonts w:hint="eastAsia"/>
          <w:color w:val="auto"/>
          <w:highlight w:val="none"/>
          <w:lang w:val="en-US" w:eastAsia="zh-CN"/>
        </w:rPr>
        <w:t>海东园区</w:t>
      </w:r>
      <w:r>
        <w:rPr>
          <w:rFonts w:hint="eastAsia"/>
          <w:color w:val="auto"/>
          <w:highlight w:val="none"/>
          <w:lang w:eastAsia="zh-CN"/>
        </w:rPr>
        <w:t>建设企业技术中心、工程技术研究中心、重点实验室、博士后科研工作站等，设立企业研发总部或区域研发中心。支持鸿智智能等创新型企业的研发机构提升效能，开展前沿技术研究和关键核心技术攻关，与区内外家电企业合作，组建</w:t>
      </w:r>
      <w:r>
        <w:rPr>
          <w:rFonts w:hint="eastAsia"/>
          <w:color w:val="auto"/>
          <w:highlight w:val="none"/>
          <w:lang w:val="en-US" w:eastAsia="zh-CN"/>
        </w:rPr>
        <w:t>创新</w:t>
      </w:r>
      <w:r>
        <w:rPr>
          <w:rFonts w:hint="eastAsia"/>
          <w:color w:val="auto"/>
          <w:highlight w:val="none"/>
          <w:lang w:eastAsia="zh-CN"/>
        </w:rPr>
        <w:t>联合体。引进中船集团等</w:t>
      </w:r>
      <w:r>
        <w:rPr>
          <w:rFonts w:hint="eastAsia"/>
          <w:color w:val="auto"/>
          <w:highlight w:val="none"/>
          <w:lang w:val="en-US" w:eastAsia="zh-CN"/>
        </w:rPr>
        <w:t>海洋</w:t>
      </w:r>
      <w:r>
        <w:rPr>
          <w:rFonts w:hint="eastAsia"/>
          <w:color w:val="auto"/>
          <w:highlight w:val="none"/>
          <w:lang w:eastAsia="zh-CN"/>
        </w:rPr>
        <w:t>企业，围绕海洋装备、海洋能源、海洋生物等领域开展科研</w:t>
      </w:r>
      <w:r>
        <w:rPr>
          <w:rFonts w:hint="eastAsia"/>
          <w:color w:val="auto"/>
          <w:highlight w:val="none"/>
          <w:lang w:val="en-US" w:eastAsia="zh-CN"/>
        </w:rPr>
        <w:t>攻关，并实现成果</w:t>
      </w:r>
      <w:r>
        <w:rPr>
          <w:rFonts w:hint="eastAsia"/>
          <w:color w:val="auto"/>
          <w:highlight w:val="none"/>
          <w:lang w:eastAsia="zh-CN"/>
        </w:rPr>
        <w:t>产业化。</w:t>
      </w:r>
      <w:r>
        <w:rPr>
          <w:color w:val="auto"/>
          <w:highlight w:val="none"/>
        </w:rPr>
        <w:t>积极吸引电子信息、生物医药企业与科研机构共同设立工程技术中心，围绕新材料、集成电路、新型电子元器件、专用设备精密制造、高端医疗器械、海工装备、海洋生物医药、海洋能源、海洋电子信息等领域，攻克关键核心技术，强化科研成果的转移转化。</w:t>
      </w:r>
    </w:p>
    <w:p>
      <w:pPr>
        <w:pStyle w:val="2"/>
        <w:rPr>
          <w:rFonts w:hint="eastAsia"/>
          <w:color w:val="auto"/>
          <w:highlight w:val="none"/>
          <w:lang w:val="en-US" w:eastAsia="zh-CN"/>
        </w:rPr>
      </w:pPr>
      <w:r>
        <w:rPr>
          <w:rFonts w:hint="eastAsia" w:ascii="Times New Roman" w:hAnsi="Times New Roman" w:eastAsia="仿宋" w:cs="Times New Roman"/>
          <w:b/>
          <w:bCs/>
          <w:color w:val="auto"/>
          <w:kern w:val="2"/>
          <w:sz w:val="32"/>
          <w:szCs w:val="22"/>
          <w:highlight w:val="none"/>
          <w:lang w:val="en-US" w:eastAsia="zh-CN" w:bidi="ar-SA"/>
        </w:rPr>
        <w:t>完善园区相关配套设施。</w:t>
      </w:r>
      <w:r>
        <w:rPr>
          <w:rFonts w:hint="eastAsia" w:ascii="Times New Roman" w:hAnsi="Times New Roman" w:eastAsia="仿宋" w:cs="Times New Roman"/>
          <w:b w:val="0"/>
          <w:bCs w:val="0"/>
          <w:color w:val="auto"/>
          <w:kern w:val="2"/>
          <w:sz w:val="32"/>
          <w:szCs w:val="22"/>
          <w:highlight w:val="none"/>
          <w:lang w:val="en-US" w:eastAsia="zh-CN" w:bidi="ar-SA"/>
        </w:rPr>
        <w:t>加快</w:t>
      </w:r>
      <w:r>
        <w:rPr>
          <w:rFonts w:hint="eastAsia" w:ascii="Times New Roman" w:hAnsi="Times New Roman" w:eastAsia="仿宋" w:cs="Times New Roman"/>
          <w:color w:val="auto"/>
          <w:kern w:val="2"/>
          <w:sz w:val="32"/>
          <w:szCs w:val="22"/>
          <w:highlight w:val="none"/>
          <w:lang w:val="en-US" w:eastAsia="zh-CN" w:bidi="ar-SA"/>
        </w:rPr>
        <w:t>推进智慧园区建设，加快路网、供水、供电、信息网络等基础设施建设，完善招商服务中心、人才公寓、商业综合体、学校、医院等公共服务配套设施，推动产城融合。围绕海洋生物、海洋能源、海洋装备等领域集聚优质科研机构、高层次人才和团队、创新型企业等创新创业资源，构建“众创空间-孵化器-加速器-科技园”完整的孵化育成链条。探索构建“管委会+平台公司”治理模式，由平台公司承担高新区土地开发、基础设施建设与运营、产业培育、招商引资、科技金融等专业化服务职能。</w:t>
      </w:r>
    </w:p>
    <w:bookmarkEnd w:id="71"/>
    <w:p>
      <w:pPr>
        <w:pStyle w:val="4"/>
        <w:spacing w:before="62" w:after="62"/>
        <w:ind w:firstLine="0"/>
        <w:jc w:val="center"/>
        <w:rPr>
          <w:rFonts w:hint="default" w:ascii="宋体" w:hAnsi="宋体"/>
          <w:color w:val="auto"/>
          <w:highlight w:val="none"/>
        </w:rPr>
      </w:pPr>
      <w:bookmarkStart w:id="72" w:name="_Toc53003161"/>
      <w:bookmarkStart w:id="73" w:name="_Toc16129"/>
      <w:bookmarkStart w:id="74" w:name="_Toc53003163"/>
      <w:r>
        <w:rPr>
          <w:rFonts w:hint="default" w:ascii="宋体" w:hAnsi="宋体"/>
          <w:color w:val="auto"/>
          <w:highlight w:val="none"/>
        </w:rPr>
        <w:t xml:space="preserve">第二节 </w:t>
      </w:r>
      <w:bookmarkEnd w:id="72"/>
      <w:r>
        <w:rPr>
          <w:rFonts w:hint="default" w:ascii="宋体" w:hAnsi="宋体"/>
          <w:color w:val="auto"/>
          <w:highlight w:val="none"/>
        </w:rPr>
        <w:t>优化创新生态环境</w:t>
      </w:r>
      <w:bookmarkEnd w:id="73"/>
    </w:p>
    <w:p>
      <w:pPr>
        <w:ind w:firstLine="640"/>
        <w:rPr>
          <w:color w:val="auto"/>
          <w:highlight w:val="none"/>
        </w:rPr>
      </w:pPr>
      <w:r>
        <w:rPr>
          <w:color w:val="auto"/>
          <w:highlight w:val="none"/>
        </w:rPr>
        <w:t>围绕创新创业全链条，强化人才、资本、平台、知识产权等要素保障，加快构建科学规范、富有效率、充满活力的创新创业生态系统。</w:t>
      </w:r>
    </w:p>
    <w:p>
      <w:pPr>
        <w:rPr>
          <w:color w:val="auto"/>
          <w:highlight w:val="none"/>
        </w:rPr>
      </w:pPr>
      <w:r>
        <w:rPr>
          <w:b/>
          <w:bCs/>
          <w:color w:val="auto"/>
          <w:highlight w:val="none"/>
        </w:rPr>
        <w:t>完善优化创新政策环境。</w:t>
      </w:r>
      <w:r>
        <w:rPr>
          <w:color w:val="auto"/>
          <w:highlight w:val="none"/>
        </w:rPr>
        <w:t>进一步形成有利于创新创业的体制机制，营造</w:t>
      </w:r>
      <w:r>
        <w:rPr>
          <w:rFonts w:hint="eastAsia"/>
          <w:color w:val="auto"/>
          <w:highlight w:val="none"/>
        </w:rPr>
        <w:t>“</w:t>
      </w:r>
      <w:r>
        <w:rPr>
          <w:color w:val="auto"/>
          <w:highlight w:val="none"/>
        </w:rPr>
        <w:t>鼓励创新、容许失败</w:t>
      </w:r>
      <w:r>
        <w:rPr>
          <w:rFonts w:hint="eastAsia"/>
          <w:color w:val="auto"/>
          <w:highlight w:val="none"/>
        </w:rPr>
        <w:t>”</w:t>
      </w:r>
      <w:r>
        <w:rPr>
          <w:color w:val="auto"/>
          <w:highlight w:val="none"/>
        </w:rPr>
        <w:t>的氛围，把坡头打造成</w:t>
      </w:r>
      <w:r>
        <w:rPr>
          <w:rFonts w:hint="eastAsia"/>
          <w:color w:val="auto"/>
          <w:highlight w:val="none"/>
        </w:rPr>
        <w:t>“</w:t>
      </w:r>
      <w:r>
        <w:rPr>
          <w:color w:val="auto"/>
          <w:highlight w:val="none"/>
        </w:rPr>
        <w:t>大众创业、万众创新</w:t>
      </w:r>
      <w:r>
        <w:rPr>
          <w:rFonts w:hint="eastAsia"/>
          <w:color w:val="auto"/>
          <w:highlight w:val="none"/>
        </w:rPr>
        <w:t>”</w:t>
      </w:r>
      <w:r>
        <w:rPr>
          <w:color w:val="auto"/>
          <w:highlight w:val="none"/>
        </w:rPr>
        <w:t>的双创热土。发挥财政资金撬动功能，创新融资方式，带动更多社会资本参与投资，提高民间投资比重。加强财政扶持和引领力度，大力发展天使投资、创业投资，鼓励设立风险投资、私募股权、基金信托等创新型金融机构，引导社会资本投向高新技术产业和战略性新兴产业，拓宽科技型企业融资渠道。</w:t>
      </w:r>
      <w:r>
        <w:rPr>
          <w:rFonts w:hint="eastAsia"/>
          <w:color w:val="auto"/>
          <w:highlight w:val="none"/>
        </w:rPr>
        <w:t>跟踪广东省实验室布局动态，进一步争取引进省实验室或分中心，围绕全省重大科学问题、产业转型升级和新兴产业发展的需要，开展技术研发和转化应用。</w:t>
      </w:r>
    </w:p>
    <w:p>
      <w:pPr>
        <w:rPr>
          <w:color w:val="auto"/>
          <w:highlight w:val="none"/>
        </w:rPr>
      </w:pPr>
      <w:r>
        <w:rPr>
          <w:b/>
          <w:bCs/>
          <w:color w:val="auto"/>
          <w:highlight w:val="none"/>
        </w:rPr>
        <w:t>建设科技成果转化</w:t>
      </w:r>
      <w:r>
        <w:rPr>
          <w:rFonts w:hint="eastAsia"/>
          <w:b/>
          <w:bCs/>
          <w:color w:val="auto"/>
          <w:highlight w:val="none"/>
        </w:rPr>
        <w:t>“</w:t>
      </w:r>
      <w:r>
        <w:rPr>
          <w:b/>
          <w:bCs/>
          <w:color w:val="auto"/>
          <w:highlight w:val="none"/>
        </w:rPr>
        <w:t>加速器</w:t>
      </w:r>
      <w:r>
        <w:rPr>
          <w:rFonts w:hint="eastAsia"/>
          <w:b/>
          <w:bCs/>
          <w:color w:val="auto"/>
          <w:highlight w:val="none"/>
        </w:rPr>
        <w:t>”</w:t>
      </w:r>
      <w:r>
        <w:rPr>
          <w:b/>
          <w:bCs/>
          <w:color w:val="auto"/>
          <w:highlight w:val="none"/>
        </w:rPr>
        <w:t>。</w:t>
      </w:r>
      <w:r>
        <w:rPr>
          <w:color w:val="auto"/>
          <w:highlight w:val="none"/>
        </w:rPr>
        <w:t>发挥中心城区整合资源优势，加强对各种资源统筹撮合，促进国内外高端创新资源与本地产业、社会资本无缝对接。依托高校、研究所加强产学研合作，提高科研成果转化应用率，增加企业产品附加值；实行以奖代补，推动创新。设立科技创新基金，扶持一批优质项目、优势产业转型升级，鼓励企业加强自主知识产权建设，鼓励企业申报国家、省、市科技发展计划，对在园区重大科技成果转移转化项目中做出突出贡献的科技人员进行奖励。实施科技型中小微企业培育工程，对重点培育的科技型</w:t>
      </w:r>
      <w:r>
        <w:rPr>
          <w:rFonts w:hint="eastAsia"/>
          <w:color w:val="auto"/>
          <w:highlight w:val="none"/>
        </w:rPr>
        <w:t>“</w:t>
      </w:r>
      <w:r>
        <w:rPr>
          <w:color w:val="auto"/>
          <w:highlight w:val="none"/>
        </w:rPr>
        <w:t>小巨人</w:t>
      </w:r>
      <w:r>
        <w:rPr>
          <w:rFonts w:hint="eastAsia"/>
          <w:color w:val="auto"/>
          <w:highlight w:val="none"/>
        </w:rPr>
        <w:t>”</w:t>
      </w:r>
      <w:r>
        <w:rPr>
          <w:color w:val="auto"/>
          <w:highlight w:val="none"/>
        </w:rPr>
        <w:t>企业给予股权投资或贴息支持。对</w:t>
      </w:r>
      <w:r>
        <w:rPr>
          <w:rFonts w:hint="eastAsia"/>
          <w:color w:val="auto"/>
          <w:highlight w:val="none"/>
        </w:rPr>
        <w:t>“</w:t>
      </w:r>
      <w:r>
        <w:rPr>
          <w:color w:val="auto"/>
          <w:highlight w:val="none"/>
        </w:rPr>
        <w:t>世界五百强</w:t>
      </w:r>
      <w:r>
        <w:rPr>
          <w:rFonts w:hint="eastAsia"/>
          <w:color w:val="auto"/>
          <w:highlight w:val="none"/>
        </w:rPr>
        <w:t>”“</w:t>
      </w:r>
      <w:r>
        <w:rPr>
          <w:color w:val="auto"/>
          <w:highlight w:val="none"/>
        </w:rPr>
        <w:t>国内五百强</w:t>
      </w:r>
      <w:r>
        <w:rPr>
          <w:rFonts w:hint="eastAsia"/>
          <w:color w:val="auto"/>
          <w:highlight w:val="none"/>
        </w:rPr>
        <w:t>”“</w:t>
      </w:r>
      <w:r>
        <w:rPr>
          <w:color w:val="auto"/>
          <w:highlight w:val="none"/>
        </w:rPr>
        <w:t>国家百强民营企业</w:t>
      </w:r>
      <w:r>
        <w:rPr>
          <w:rFonts w:hint="eastAsia"/>
          <w:color w:val="auto"/>
          <w:highlight w:val="none"/>
        </w:rPr>
        <w:t>”“</w:t>
      </w:r>
      <w:r>
        <w:rPr>
          <w:color w:val="auto"/>
          <w:highlight w:val="none"/>
        </w:rPr>
        <w:t>全国行业百强</w:t>
      </w:r>
      <w:r>
        <w:rPr>
          <w:rFonts w:hint="eastAsia"/>
          <w:color w:val="auto"/>
          <w:highlight w:val="none"/>
        </w:rPr>
        <w:t>”</w:t>
      </w:r>
      <w:r>
        <w:rPr>
          <w:color w:val="auto"/>
          <w:highlight w:val="none"/>
        </w:rPr>
        <w:t>等企业进驻园区给予到位投资相应的奖励。突出推进各类主题园区中试平台、加速器建设，为科技成果转化提供产业测试平台。为科技项目落地提供</w:t>
      </w:r>
      <w:r>
        <w:rPr>
          <w:rFonts w:hint="eastAsia"/>
          <w:color w:val="auto"/>
          <w:highlight w:val="none"/>
        </w:rPr>
        <w:t>“</w:t>
      </w:r>
      <w:r>
        <w:rPr>
          <w:color w:val="auto"/>
          <w:highlight w:val="none"/>
        </w:rPr>
        <w:t>一条龙</w:t>
      </w:r>
      <w:r>
        <w:rPr>
          <w:rFonts w:hint="eastAsia"/>
          <w:color w:val="auto"/>
          <w:highlight w:val="none"/>
        </w:rPr>
        <w:t>”</w:t>
      </w:r>
      <w:r>
        <w:rPr>
          <w:color w:val="auto"/>
          <w:highlight w:val="none"/>
        </w:rPr>
        <w:t>服务，努力打通成果转让、资本对接、项目合作、土地供给等一系列环节，促使更多科技成果在坡头转化为生产力。</w:t>
      </w:r>
    </w:p>
    <w:p>
      <w:pPr>
        <w:pStyle w:val="4"/>
        <w:spacing w:before="62" w:after="62"/>
        <w:ind w:firstLine="0"/>
        <w:jc w:val="center"/>
        <w:rPr>
          <w:rFonts w:hint="default" w:ascii="宋体" w:hAnsi="宋体"/>
          <w:color w:val="auto"/>
          <w:highlight w:val="none"/>
        </w:rPr>
      </w:pPr>
      <w:bookmarkStart w:id="75" w:name="_Toc30859"/>
      <w:r>
        <w:rPr>
          <w:rFonts w:hint="default" w:ascii="宋体" w:hAnsi="宋体"/>
          <w:color w:val="auto"/>
          <w:highlight w:val="none"/>
        </w:rPr>
        <w:t>第三节 培育壮大创新主体</w:t>
      </w:r>
      <w:bookmarkEnd w:id="75"/>
    </w:p>
    <w:p>
      <w:pPr>
        <w:ind w:firstLine="640"/>
        <w:rPr>
          <w:color w:val="auto"/>
          <w:highlight w:val="none"/>
        </w:rPr>
      </w:pPr>
      <w:r>
        <w:rPr>
          <w:color w:val="auto"/>
          <w:highlight w:val="none"/>
        </w:rPr>
        <w:t>以企业需求为导向，完善政策扶持体系，推动形成具有核心技术和综合竞争力的企业集群，释放经济高质量发展新动力。</w:t>
      </w:r>
    </w:p>
    <w:p>
      <w:pPr>
        <w:rPr>
          <w:color w:val="auto"/>
          <w:highlight w:val="none"/>
        </w:rPr>
      </w:pPr>
      <w:r>
        <w:rPr>
          <w:b/>
          <w:bCs/>
          <w:color w:val="auto"/>
          <w:highlight w:val="none"/>
        </w:rPr>
        <w:t>壮大创新型企业群体。</w:t>
      </w:r>
      <w:r>
        <w:rPr>
          <w:color w:val="auto"/>
          <w:highlight w:val="none"/>
        </w:rPr>
        <w:t>完善创新型企业培育机制，建立覆盖企业初创、成长、发展等不同阶段的政策扶持体系。</w:t>
      </w:r>
      <w:r>
        <w:rPr>
          <w:rFonts w:hint="eastAsia" w:ascii="仿宋_GB2312" w:hAnsi="仿宋_GB2312" w:cs="仿宋_GB2312"/>
          <w:color w:val="auto"/>
          <w:szCs w:val="32"/>
          <w:highlight w:val="none"/>
        </w:rPr>
        <w:t>围绕三大航母产业，着力培育产业链上下游核心环节配套企业，推动大中小企业融通创新。支持企业与湛江湾实验室等重大科创平台组建联合体，共同开展科研项目，促进科技成果转化。</w:t>
      </w:r>
      <w:r>
        <w:rPr>
          <w:color w:val="auto"/>
          <w:highlight w:val="none"/>
        </w:rPr>
        <w:t>大力支持高新技术企业开展创新攻关，制定实施高新技术企业培育计划，配套落实上级有关高新技术企业优惠政策，着力培育一批掌握核心技术、拥有自主知识产权和具有较强竞争力的高新技术企业；扶持一批创新型中小技术企业。加大政策对中小企业的倾斜力度，鼓励中小企业加大科技投入，开发具有自主知识产权的新技术产品。落实各项科技创新奖励政策，支持中小企业申报国家、省和市级科技计划专项，打造一批创新能力强的各类大中小型企业，培育一批有市场竞争力的</w:t>
      </w:r>
      <w:r>
        <w:rPr>
          <w:rFonts w:hint="eastAsia"/>
          <w:color w:val="auto"/>
          <w:highlight w:val="none"/>
        </w:rPr>
        <w:t>“</w:t>
      </w:r>
      <w:r>
        <w:rPr>
          <w:color w:val="auto"/>
          <w:highlight w:val="none"/>
        </w:rPr>
        <w:t>单打冠军</w:t>
      </w:r>
      <w:r>
        <w:rPr>
          <w:rFonts w:hint="eastAsia"/>
          <w:color w:val="auto"/>
          <w:highlight w:val="none"/>
        </w:rPr>
        <w:t>”“</w:t>
      </w:r>
      <w:r>
        <w:rPr>
          <w:color w:val="auto"/>
          <w:highlight w:val="none"/>
        </w:rPr>
        <w:t>独角兽</w:t>
      </w:r>
      <w:r>
        <w:rPr>
          <w:rFonts w:hint="eastAsia"/>
          <w:color w:val="auto"/>
          <w:highlight w:val="none"/>
        </w:rPr>
        <w:t>”</w:t>
      </w:r>
      <w:r>
        <w:rPr>
          <w:color w:val="auto"/>
          <w:highlight w:val="none"/>
        </w:rPr>
        <w:t>。</w:t>
      </w:r>
    </w:p>
    <w:p>
      <w:pPr>
        <w:rPr>
          <w:color w:val="auto"/>
          <w:highlight w:val="none"/>
        </w:rPr>
      </w:pPr>
      <w:r>
        <w:rPr>
          <w:b/>
          <w:bCs/>
          <w:color w:val="auto"/>
          <w:highlight w:val="none"/>
        </w:rPr>
        <w:t>推动孵化器建设。</w:t>
      </w:r>
      <w:r>
        <w:rPr>
          <w:color w:val="auto"/>
          <w:highlight w:val="none"/>
        </w:rPr>
        <w:t>促进高新区、科技产业园区孵化器建设，实现二次创业的新突破。在孵化器的建设上需完善孵化器基础服务条件，包括场地等硬环境条件和法律、会计师事务、项目中介等软环境条件；提高孵化器管理水平，对企业的培育要有健全的组织及较为成熟的办法，经济上要逐步培养自身的</w:t>
      </w:r>
      <w:r>
        <w:rPr>
          <w:rFonts w:hint="eastAsia"/>
          <w:color w:val="auto"/>
          <w:highlight w:val="none"/>
        </w:rPr>
        <w:t>“</w:t>
      </w:r>
      <w:r>
        <w:rPr>
          <w:color w:val="auto"/>
          <w:highlight w:val="none"/>
        </w:rPr>
        <w:t>造血功能</w:t>
      </w:r>
      <w:r>
        <w:rPr>
          <w:rFonts w:hint="eastAsia"/>
          <w:color w:val="auto"/>
          <w:highlight w:val="none"/>
        </w:rPr>
        <w:t>”</w:t>
      </w:r>
      <w:r>
        <w:rPr>
          <w:color w:val="auto"/>
          <w:highlight w:val="none"/>
        </w:rPr>
        <w:t>，达到自收自支并逐步拥有投融资功能；提高孵化企业的成功率和毕业率。鼓励现有产业园区或利用旧厂旧村，建设一批低成本、便利化、全要素、开放式的</w:t>
      </w:r>
      <w:r>
        <w:rPr>
          <w:rFonts w:hint="eastAsia"/>
          <w:color w:val="auto"/>
          <w:highlight w:val="none"/>
        </w:rPr>
        <w:t>“</w:t>
      </w:r>
      <w:r>
        <w:rPr>
          <w:color w:val="auto"/>
          <w:highlight w:val="none"/>
        </w:rPr>
        <w:t>孵化器</w:t>
      </w:r>
      <w:r>
        <w:rPr>
          <w:rFonts w:hint="eastAsia"/>
          <w:color w:val="auto"/>
          <w:highlight w:val="none"/>
        </w:rPr>
        <w:t>”</w:t>
      </w:r>
      <w:r>
        <w:rPr>
          <w:color w:val="auto"/>
          <w:highlight w:val="none"/>
        </w:rPr>
        <w:t>及创客室、咖啡屋、创意坊等众创空间。在财政上给予创客空间一定的培训补贴、租金补贴和优秀项目资助，引导天使投资跟进支持。鼓励支持草根创业，设立草根创业绿色服务通道</w:t>
      </w:r>
      <w:r>
        <w:rPr>
          <w:rFonts w:hint="eastAsia"/>
          <w:color w:val="auto"/>
          <w:highlight w:val="none"/>
        </w:rPr>
        <w:t>，</w:t>
      </w:r>
      <w:r>
        <w:rPr>
          <w:color w:val="auto"/>
          <w:highlight w:val="none"/>
        </w:rPr>
        <w:t>为小微创新型企业和创客提供投融资便利、要素可得的发展条件。</w:t>
      </w:r>
    </w:p>
    <w:p>
      <w:pPr>
        <w:rPr>
          <w:rFonts w:hint="eastAsia" w:eastAsia="仿宋"/>
          <w:color w:val="auto"/>
          <w:highlight w:val="none"/>
          <w:lang w:eastAsia="zh-CN"/>
        </w:rPr>
      </w:pPr>
      <w:r>
        <w:rPr>
          <w:b/>
          <w:bCs/>
          <w:color w:val="auto"/>
          <w:highlight w:val="none"/>
        </w:rPr>
        <w:t>着力提升企业创新能力。</w:t>
      </w:r>
      <w:r>
        <w:rPr>
          <w:rFonts w:hint="eastAsia"/>
          <w:b w:val="0"/>
          <w:bCs w:val="0"/>
          <w:color w:val="auto"/>
          <w:highlight w:val="none"/>
        </w:rPr>
        <w:t>加大对企业研发活动的直接支持，支持企业牵头承担省、市级科技计划项目，申请认定省级重点新产品，对企业承担的上级科技计划项目按一定比例给予配套经费支持。</w:t>
      </w:r>
      <w:r>
        <w:rPr>
          <w:color w:val="auto"/>
          <w:highlight w:val="none"/>
        </w:rPr>
        <w:t>推动创新资源、创新人才、创新政策、创新服务向企业集聚，支持企业建立研发机构。有效落实企业研发费用加计扣除、高新技术企业和技术先进型服务企业所得税减免等科技创新税收优惠政策，激励企业增加研发投入，切实提升自主创新能力。支持企业积极制定技术标准，建设新兴产业标准化工作平台，加快采用先进标准生产的步伐。支持企业与高等院校、科研院所开展战略合作，探索产学研深度融合的创新模式和长效机制，推进科技成果向企业转移转化。</w:t>
      </w:r>
      <w:r>
        <w:rPr>
          <w:rFonts w:hint="eastAsia"/>
          <w:color w:val="auto"/>
          <w:highlight w:val="none"/>
        </w:rPr>
        <w:t>支持区内家电企业参与广东省小家电区域创新中心建设和研发活动</w:t>
      </w:r>
      <w:r>
        <w:rPr>
          <w:rFonts w:hint="eastAsia"/>
          <w:color w:val="auto"/>
          <w:highlight w:val="none"/>
          <w:lang w:eastAsia="zh-CN"/>
        </w:rPr>
        <w:t>。</w:t>
      </w:r>
    </w:p>
    <w:bookmarkEnd w:id="74"/>
    <w:p>
      <w:pPr>
        <w:pStyle w:val="4"/>
        <w:spacing w:before="62" w:after="62"/>
        <w:ind w:firstLine="0"/>
        <w:jc w:val="center"/>
        <w:rPr>
          <w:rFonts w:hint="default" w:ascii="宋体" w:hAnsi="宋体"/>
          <w:color w:val="auto"/>
          <w:highlight w:val="none"/>
        </w:rPr>
      </w:pPr>
      <w:bookmarkStart w:id="76" w:name="_Toc53003164"/>
      <w:bookmarkStart w:id="77" w:name="_Toc23578"/>
      <w:r>
        <w:rPr>
          <w:rFonts w:hint="default" w:ascii="宋体" w:hAnsi="宋体"/>
          <w:color w:val="auto"/>
          <w:highlight w:val="none"/>
        </w:rPr>
        <w:t xml:space="preserve">第四节 </w:t>
      </w:r>
      <w:bookmarkEnd w:id="76"/>
      <w:r>
        <w:rPr>
          <w:rFonts w:hint="default" w:ascii="宋体" w:hAnsi="宋体"/>
          <w:color w:val="auto"/>
          <w:highlight w:val="none"/>
        </w:rPr>
        <w:t>引进培育创新人才</w:t>
      </w:r>
      <w:bookmarkEnd w:id="77"/>
    </w:p>
    <w:p>
      <w:pPr>
        <w:ind w:firstLine="640"/>
        <w:rPr>
          <w:color w:val="auto"/>
          <w:highlight w:val="none"/>
        </w:rPr>
      </w:pPr>
      <w:r>
        <w:rPr>
          <w:color w:val="auto"/>
          <w:highlight w:val="none"/>
        </w:rPr>
        <w:t>实施坡头人才引进专项行动计划，着力吸引具有高层次学历、高级专业技术职称、高级职业资格的高端人才，重点引进高新技术产业发展需要的技能型人才和特殊专业技术人才、</w:t>
      </w:r>
      <w:r>
        <w:rPr>
          <w:rFonts w:hint="eastAsia"/>
          <w:color w:val="auto"/>
          <w:highlight w:val="none"/>
        </w:rPr>
        <w:t>“</w:t>
      </w:r>
      <w:r>
        <w:rPr>
          <w:color w:val="auto"/>
          <w:highlight w:val="none"/>
        </w:rPr>
        <w:t>南粤工匠大师</w:t>
      </w:r>
      <w:r>
        <w:rPr>
          <w:rFonts w:hint="eastAsia"/>
          <w:color w:val="auto"/>
          <w:highlight w:val="none"/>
        </w:rPr>
        <w:t>”</w:t>
      </w:r>
      <w:r>
        <w:rPr>
          <w:color w:val="auto"/>
          <w:highlight w:val="none"/>
        </w:rPr>
        <w:t>，扩大全区创新型人才数量。</w:t>
      </w:r>
    </w:p>
    <w:p>
      <w:pPr>
        <w:rPr>
          <w:color w:val="auto"/>
          <w:highlight w:val="none"/>
        </w:rPr>
      </w:pPr>
      <w:r>
        <w:rPr>
          <w:b/>
          <w:bCs/>
          <w:color w:val="auto"/>
          <w:highlight w:val="none"/>
        </w:rPr>
        <w:t>完善人才政策保障。</w:t>
      </w:r>
      <w:r>
        <w:rPr>
          <w:color w:val="auto"/>
          <w:highlight w:val="none"/>
        </w:rPr>
        <w:t>实施更为积极、开放、包容的科技人才集聚政策。</w:t>
      </w:r>
      <w:r>
        <w:rPr>
          <w:rFonts w:hint="eastAsia"/>
          <w:color w:val="auto"/>
          <w:highlight w:val="none"/>
        </w:rPr>
        <w:t>以高新区为阵地，依托湛江湾实验室等重大创新平台“人才磁铁”，建设院士工作室，培育创新创业团队。</w:t>
      </w:r>
      <w:r>
        <w:rPr>
          <w:color w:val="auto"/>
          <w:highlight w:val="none"/>
        </w:rPr>
        <w:t>深入落实</w:t>
      </w:r>
      <w:r>
        <w:rPr>
          <w:rFonts w:hint="eastAsia"/>
          <w:color w:val="auto"/>
          <w:highlight w:val="none"/>
        </w:rPr>
        <w:t>“</w:t>
      </w:r>
      <w:r>
        <w:rPr>
          <w:color w:val="auto"/>
          <w:highlight w:val="none"/>
        </w:rPr>
        <w:t>广东特支计划</w:t>
      </w:r>
      <w:r>
        <w:rPr>
          <w:rFonts w:hint="eastAsia"/>
          <w:color w:val="auto"/>
          <w:highlight w:val="none"/>
        </w:rPr>
        <w:t>”“</w:t>
      </w:r>
      <w:r>
        <w:rPr>
          <w:color w:val="auto"/>
          <w:highlight w:val="none"/>
        </w:rPr>
        <w:t>扬帆计划</w:t>
      </w:r>
      <w:r>
        <w:rPr>
          <w:rFonts w:hint="eastAsia"/>
          <w:color w:val="auto"/>
          <w:highlight w:val="none"/>
        </w:rPr>
        <w:t>”“</w:t>
      </w:r>
      <w:r>
        <w:rPr>
          <w:color w:val="auto"/>
          <w:highlight w:val="none"/>
        </w:rPr>
        <w:t>领航计划</w:t>
      </w:r>
      <w:r>
        <w:rPr>
          <w:rFonts w:hint="eastAsia"/>
          <w:color w:val="auto"/>
          <w:highlight w:val="none"/>
        </w:rPr>
        <w:t>”“</w:t>
      </w:r>
      <w:r>
        <w:rPr>
          <w:color w:val="auto"/>
          <w:highlight w:val="none"/>
        </w:rPr>
        <w:t>汇智计划</w:t>
      </w:r>
      <w:r>
        <w:rPr>
          <w:rFonts w:hint="eastAsia"/>
          <w:color w:val="auto"/>
          <w:highlight w:val="none"/>
        </w:rPr>
        <w:t>”</w:t>
      </w:r>
      <w:r>
        <w:rPr>
          <w:color w:val="auto"/>
          <w:highlight w:val="none"/>
        </w:rPr>
        <w:t>，促进海内外高层次人才聚集。探索建立与国际接轨的全球人才招聘和服务管理制度，柔性引进</w:t>
      </w:r>
      <w:r>
        <w:rPr>
          <w:rFonts w:hint="eastAsia"/>
          <w:color w:val="auto"/>
          <w:highlight w:val="none"/>
        </w:rPr>
        <w:t>“</w:t>
      </w:r>
      <w:r>
        <w:rPr>
          <w:color w:val="auto"/>
          <w:highlight w:val="none"/>
        </w:rPr>
        <w:t>高精尖缺</w:t>
      </w:r>
      <w:r>
        <w:rPr>
          <w:rFonts w:hint="eastAsia"/>
          <w:color w:val="auto"/>
          <w:highlight w:val="none"/>
        </w:rPr>
        <w:t>”</w:t>
      </w:r>
      <w:r>
        <w:rPr>
          <w:color w:val="auto"/>
          <w:highlight w:val="none"/>
        </w:rPr>
        <w:t>专业人才和团队。实施博士和博士后人才倍增计划，在生活补贴、住房补贴、建站补贴等多方面予以资助。实施创新人才培养计划，对通过各类比赛、专家以及企业自评等多种方式选拔的人才，</w:t>
      </w:r>
      <w:r>
        <w:rPr>
          <w:rFonts w:hint="eastAsia"/>
          <w:color w:val="auto"/>
          <w:highlight w:val="none"/>
          <w:lang w:val="en-US" w:eastAsia="zh-CN"/>
        </w:rPr>
        <w:t>给予</w:t>
      </w:r>
      <w:r>
        <w:rPr>
          <w:color w:val="auto"/>
          <w:highlight w:val="none"/>
        </w:rPr>
        <w:t>创新补助、生活及租房补贴等多种形式给与补贴。</w:t>
      </w:r>
    </w:p>
    <w:p>
      <w:pPr>
        <w:rPr>
          <w:color w:val="auto"/>
          <w:highlight w:val="none"/>
        </w:rPr>
      </w:pPr>
      <w:r>
        <w:rPr>
          <w:b/>
          <w:bCs/>
          <w:color w:val="auto"/>
          <w:highlight w:val="none"/>
        </w:rPr>
        <w:t>加大人才引育力度。</w:t>
      </w:r>
      <w:r>
        <w:rPr>
          <w:color w:val="auto"/>
          <w:highlight w:val="none"/>
        </w:rPr>
        <w:t>通过湛江湾实验室等平台集聚一批从事国际前沿科技研究、带动新兴科技领域发展的科学家团队，引进一批掌握国际领先技术、有助于提升科技与产业发展的主导权人才，打造一流人才发展平台和人才制度</w:t>
      </w:r>
      <w:r>
        <w:rPr>
          <w:rFonts w:hint="eastAsia"/>
          <w:color w:val="auto"/>
          <w:highlight w:val="none"/>
          <w:lang w:val="en-US" w:eastAsia="zh-CN"/>
        </w:rPr>
        <w:t>高地</w:t>
      </w:r>
      <w:r>
        <w:rPr>
          <w:color w:val="auto"/>
          <w:highlight w:val="none"/>
        </w:rPr>
        <w:t>。</w:t>
      </w:r>
      <w:r>
        <w:rPr>
          <w:rFonts w:hint="eastAsia"/>
          <w:color w:val="auto"/>
          <w:highlight w:val="none"/>
        </w:rPr>
        <w:t>支持高校院所为海洋生物医药与健康、海洋装备制造等相关领域的科研人员提供实验平台等资源，奖励和扶持科研团队落地。</w:t>
      </w:r>
      <w:r>
        <w:rPr>
          <w:color w:val="auto"/>
          <w:highlight w:val="none"/>
        </w:rPr>
        <w:t>与</w:t>
      </w:r>
      <w:r>
        <w:rPr>
          <w:rFonts w:hint="eastAsia"/>
          <w:color w:val="auto"/>
          <w:highlight w:val="none"/>
        </w:rPr>
        <w:t>广东医科大学、</w:t>
      </w:r>
      <w:r>
        <w:rPr>
          <w:color w:val="auto"/>
          <w:highlight w:val="none"/>
        </w:rPr>
        <w:t>广东海洋大学等高校建立</w:t>
      </w:r>
      <w:r>
        <w:rPr>
          <w:rFonts w:hint="eastAsia"/>
          <w:color w:val="auto"/>
          <w:highlight w:val="none"/>
        </w:rPr>
        <w:t>“</w:t>
      </w:r>
      <w:r>
        <w:rPr>
          <w:color w:val="auto"/>
          <w:highlight w:val="none"/>
        </w:rPr>
        <w:t>优势产业-专业-产业链</w:t>
      </w:r>
      <w:r>
        <w:rPr>
          <w:rFonts w:hint="eastAsia"/>
          <w:color w:val="auto"/>
          <w:highlight w:val="none"/>
        </w:rPr>
        <w:t>”</w:t>
      </w:r>
      <w:r>
        <w:rPr>
          <w:color w:val="auto"/>
          <w:highlight w:val="none"/>
        </w:rPr>
        <w:t>等合作模式，共建一批创新型人才培训基地，开展校企合作，联合办学，定向培养等，形成工业园区与校区</w:t>
      </w:r>
      <w:r>
        <w:rPr>
          <w:rFonts w:hint="eastAsia"/>
          <w:color w:val="auto"/>
          <w:highlight w:val="none"/>
        </w:rPr>
        <w:t>“</w:t>
      </w:r>
      <w:r>
        <w:rPr>
          <w:color w:val="auto"/>
          <w:highlight w:val="none"/>
        </w:rPr>
        <w:t>双区联动</w:t>
      </w:r>
      <w:r>
        <w:rPr>
          <w:rFonts w:hint="eastAsia"/>
          <w:color w:val="auto"/>
          <w:highlight w:val="none"/>
        </w:rPr>
        <w:t>”</w:t>
      </w:r>
      <w:r>
        <w:rPr>
          <w:color w:val="auto"/>
          <w:highlight w:val="none"/>
        </w:rPr>
        <w:t>的发展格局。设立人才发展专项基金，建设一批共性技术研究中心（机构）、专家工作站、院士工作站、博士后站点等发展平台，培育新兴产业等重点产业人才、高技能技术人才。</w:t>
      </w:r>
      <w:r>
        <w:rPr>
          <w:rFonts w:hint="eastAsia"/>
          <w:color w:val="auto"/>
          <w:highlight w:val="none"/>
        </w:rPr>
        <w:t>强化人才创新创业金融扶持，复制“双区”人才个人所得税优惠政策，加大住房、医疗、子女教育等方面保障，促进高层次人才聚集。加强人才驿站建设，着力打造人才互动交流与创新创业发展综合服务平台。抓住“双核+双副中心”重大机遇，与广州建立人才深度对接机制。加大对优秀青年科技人才的发现、培养、使用和资助力度。大力吸引高层次人才来坡头创新创业。</w:t>
      </w:r>
    </w:p>
    <w:p>
      <w:pPr>
        <w:bidi w:val="0"/>
        <w:rPr>
          <w:rFonts w:hint="eastAsia"/>
          <w:color w:val="auto"/>
          <w:highlight w:val="none"/>
          <w:lang w:val="en-US" w:eastAsia="zh-CN"/>
        </w:rPr>
      </w:pPr>
      <w:r>
        <w:rPr>
          <w:rFonts w:hint="eastAsia"/>
          <w:b/>
          <w:bCs/>
          <w:color w:val="auto"/>
          <w:highlight w:val="none"/>
          <w:lang w:val="en-US" w:eastAsia="zh-CN"/>
        </w:rPr>
        <w:t>积极开展科普宣传。</w:t>
      </w:r>
      <w:r>
        <w:rPr>
          <w:rFonts w:hint="eastAsia"/>
          <w:color w:val="auto"/>
          <w:highlight w:val="none"/>
          <w:lang w:val="en-US" w:eastAsia="zh-CN"/>
        </w:rPr>
        <w:t>认真组织“科普宣传日”活动，努力实施科普服务乡村振兴计划，倡导科普惠农。加大科普示范基地建设，规划建立</w:t>
      </w:r>
      <w:r>
        <w:rPr>
          <w:rFonts w:hint="eastAsia" w:ascii="Times New Roman" w:hAnsi="Times New Roman"/>
          <w:color w:val="auto"/>
          <w:highlight w:val="none"/>
          <w:lang w:val="en-US" w:eastAsia="zh-CN"/>
        </w:rPr>
        <w:t>3</w:t>
      </w:r>
      <w:r>
        <w:rPr>
          <w:rFonts w:hint="eastAsia"/>
          <w:color w:val="auto"/>
          <w:highlight w:val="none"/>
          <w:lang w:val="en-US" w:eastAsia="zh-CN"/>
        </w:rPr>
        <w:t>个省级和</w:t>
      </w:r>
      <w:r>
        <w:rPr>
          <w:rFonts w:hint="eastAsia" w:ascii="Times New Roman" w:hAnsi="Times New Roman"/>
          <w:color w:val="auto"/>
          <w:highlight w:val="none"/>
          <w:lang w:val="en-US" w:eastAsia="zh-CN"/>
        </w:rPr>
        <w:t>5</w:t>
      </w:r>
      <w:r>
        <w:rPr>
          <w:rFonts w:hint="eastAsia"/>
          <w:color w:val="auto"/>
          <w:highlight w:val="none"/>
          <w:lang w:val="en-US" w:eastAsia="zh-CN"/>
        </w:rPr>
        <w:t>个市级科普示范基地。健全科协组织领导，促进科普工作社会化。加强科普宣传，规划建设</w:t>
      </w:r>
      <w:r>
        <w:rPr>
          <w:rFonts w:hint="eastAsia" w:ascii="Times New Roman" w:hAnsi="Times New Roman"/>
          <w:color w:val="auto"/>
          <w:highlight w:val="none"/>
          <w:lang w:val="en-US" w:eastAsia="zh-CN"/>
        </w:rPr>
        <w:t>5</w:t>
      </w:r>
      <w:r>
        <w:rPr>
          <w:rFonts w:hint="eastAsia"/>
          <w:color w:val="auto"/>
          <w:highlight w:val="none"/>
          <w:lang w:val="en-US" w:eastAsia="zh-CN"/>
        </w:rPr>
        <w:t>个科普</w:t>
      </w:r>
      <w:r>
        <w:rPr>
          <w:rFonts w:hint="eastAsia" w:ascii="Times New Roman" w:hAnsi="Times New Roman"/>
          <w:color w:val="auto"/>
          <w:highlight w:val="none"/>
          <w:lang w:val="en-US" w:eastAsia="zh-CN"/>
        </w:rPr>
        <w:t>E</w:t>
      </w:r>
      <w:r>
        <w:rPr>
          <w:rFonts w:hint="eastAsia"/>
          <w:color w:val="auto"/>
          <w:highlight w:val="none"/>
          <w:lang w:val="en-US" w:eastAsia="zh-CN"/>
        </w:rPr>
        <w:t>站，全面提升科普知识普及率。</w:t>
      </w:r>
    </w:p>
    <w:tbl>
      <w:tblPr>
        <w:tblStyle w:val="14"/>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175" w:type="dxa"/>
            <w:tcBorders>
              <w:top w:val="single" w:color="auto" w:sz="4" w:space="0"/>
              <w:left w:val="single" w:color="auto" w:sz="4" w:space="0"/>
              <w:bottom w:val="single" w:color="auto" w:sz="4" w:space="0"/>
              <w:right w:val="single" w:color="auto" w:sz="4" w:space="0"/>
            </w:tcBorders>
            <w:vAlign w:val="center"/>
          </w:tcPr>
          <w:p>
            <w:pPr>
              <w:spacing w:line="288" w:lineRule="auto"/>
              <w:ind w:firstLine="0" w:firstLineChars="0"/>
              <w:jc w:val="center"/>
              <w:rPr>
                <w:rFonts w:ascii="宋体" w:hAnsi="宋体" w:eastAsia="宋体" w:cs="宋体"/>
                <w:color w:val="auto"/>
                <w:sz w:val="24"/>
                <w:szCs w:val="24"/>
                <w:highlight w:val="none"/>
              </w:rPr>
            </w:pPr>
            <w:r>
              <w:rPr>
                <w:rFonts w:hint="eastAsia" w:ascii="宋体" w:hAnsi="宋体" w:eastAsia="宋体" w:cs="宋体"/>
                <w:b/>
                <w:bCs/>
                <w:color w:val="auto"/>
                <w:sz w:val="28"/>
                <w:szCs w:val="28"/>
                <w:highlight w:val="none"/>
              </w:rPr>
              <w:t>专栏</w:t>
            </w:r>
            <w:r>
              <w:rPr>
                <w:rFonts w:hint="eastAsia" w:ascii="Times New Roman" w:hAnsi="Times New Roman" w:eastAsia="宋体"/>
                <w:b/>
                <w:bCs/>
                <w:color w:val="auto"/>
                <w:sz w:val="28"/>
                <w:szCs w:val="28"/>
                <w:highlight w:val="none"/>
                <w:lang w:eastAsia="zh-CN"/>
              </w:rPr>
              <w:t>1</w:t>
            </w:r>
            <w:r>
              <w:rPr>
                <w:rFonts w:hint="eastAsia" w:ascii="宋体" w:hAnsi="宋体" w:eastAsia="宋体" w:cs="宋体"/>
                <w:b/>
                <w:bCs/>
                <w:color w:val="auto"/>
                <w:sz w:val="28"/>
                <w:szCs w:val="28"/>
                <w:highlight w:val="none"/>
              </w:rPr>
              <w:t>：创新能力提升专项行动计划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175" w:type="dxa"/>
            <w:tcBorders>
              <w:top w:val="single" w:color="auto" w:sz="4" w:space="0"/>
              <w:left w:val="single" w:color="auto" w:sz="4" w:space="0"/>
              <w:bottom w:val="single" w:color="auto" w:sz="4" w:space="0"/>
              <w:right w:val="single" w:color="auto" w:sz="4" w:space="0"/>
            </w:tcBorders>
          </w:tcPr>
          <w:p>
            <w:pPr>
              <w:spacing w:line="288" w:lineRule="auto"/>
              <w:ind w:firstLine="0" w:firstLineChars="0"/>
              <w:rPr>
                <w:rFonts w:ascii="宋体" w:hAnsi="宋体" w:eastAsia="宋体" w:cs="宋体"/>
                <w:color w:val="auto"/>
                <w:sz w:val="24"/>
                <w:szCs w:val="24"/>
                <w:highlight w:val="none"/>
              </w:rPr>
            </w:pPr>
            <w:r>
              <w:rPr>
                <w:rFonts w:hint="eastAsia" w:ascii="Times New Roman" w:hAnsi="Times New Roman" w:eastAsia="宋体" w:cs="宋体"/>
                <w:b/>
                <w:bCs/>
                <w:color w:val="auto"/>
                <w:sz w:val="24"/>
                <w:szCs w:val="24"/>
                <w:highlight w:val="none"/>
                <w:lang w:eastAsia="zh-CN"/>
              </w:rPr>
              <w:t>1.</w:t>
            </w:r>
            <w:r>
              <w:rPr>
                <w:rFonts w:hint="eastAsia"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工程技术中心创建计划：</w:t>
            </w:r>
            <w:r>
              <w:rPr>
                <w:rFonts w:hint="eastAsia" w:ascii="宋体" w:hAnsi="宋体" w:eastAsia="宋体" w:cs="宋体"/>
                <w:color w:val="auto"/>
                <w:sz w:val="24"/>
                <w:szCs w:val="24"/>
                <w:highlight w:val="none"/>
              </w:rPr>
              <w:t>到</w:t>
            </w:r>
            <w:r>
              <w:rPr>
                <w:rFonts w:hint="eastAsia" w:ascii="Times New Roman" w:hAnsi="Times New Roman" w:eastAsia="宋体" w:cs="宋体"/>
                <w:color w:val="auto"/>
                <w:sz w:val="24"/>
                <w:szCs w:val="24"/>
                <w:highlight w:val="none"/>
                <w:lang w:eastAsia="zh-CN"/>
              </w:rPr>
              <w:t>2025</w:t>
            </w:r>
            <w:r>
              <w:rPr>
                <w:rFonts w:hint="eastAsia" w:ascii="宋体" w:hAnsi="宋体" w:eastAsia="宋体" w:cs="宋体"/>
                <w:color w:val="auto"/>
                <w:sz w:val="24"/>
                <w:szCs w:val="24"/>
                <w:highlight w:val="none"/>
              </w:rPr>
              <w:t>年，省级工程技术中心</w:t>
            </w:r>
            <w:r>
              <w:rPr>
                <w:rFonts w:hint="eastAsia" w:ascii="Times New Roman" w:hAnsi="Times New Roman"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个。</w:t>
            </w:r>
          </w:p>
          <w:p>
            <w:pPr>
              <w:spacing w:line="288" w:lineRule="auto"/>
              <w:ind w:firstLine="0" w:firstLineChars="0"/>
              <w:rPr>
                <w:rFonts w:ascii="宋体" w:hAnsi="宋体" w:eastAsia="宋体" w:cs="宋体"/>
                <w:color w:val="auto"/>
                <w:sz w:val="24"/>
                <w:szCs w:val="24"/>
                <w:highlight w:val="none"/>
              </w:rPr>
            </w:pPr>
            <w:r>
              <w:rPr>
                <w:rFonts w:hint="eastAsia" w:ascii="Times New Roman" w:hAnsi="Times New Roman" w:eastAsia="宋体" w:cs="宋体"/>
                <w:b/>
                <w:bCs/>
                <w:color w:val="auto"/>
                <w:sz w:val="24"/>
                <w:szCs w:val="24"/>
                <w:highlight w:val="none"/>
                <w:lang w:eastAsia="zh-CN"/>
              </w:rPr>
              <w:t>2.</w:t>
            </w:r>
            <w:r>
              <w:rPr>
                <w:rFonts w:hint="eastAsia"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科技企业孵化园区建设计划：</w:t>
            </w:r>
            <w:r>
              <w:rPr>
                <w:rFonts w:hint="eastAsia" w:ascii="宋体" w:hAnsi="宋体" w:eastAsia="宋体" w:cs="宋体"/>
                <w:color w:val="auto"/>
                <w:sz w:val="24"/>
                <w:szCs w:val="24"/>
                <w:highlight w:val="none"/>
              </w:rPr>
              <w:t>到</w:t>
            </w:r>
            <w:r>
              <w:rPr>
                <w:rFonts w:hint="eastAsia" w:ascii="Times New Roman" w:hAnsi="Times New Roman" w:eastAsia="宋体" w:cs="宋体"/>
                <w:color w:val="auto"/>
                <w:sz w:val="24"/>
                <w:szCs w:val="24"/>
                <w:highlight w:val="none"/>
                <w:lang w:eastAsia="zh-CN"/>
              </w:rPr>
              <w:t>2025</w:t>
            </w:r>
            <w:r>
              <w:rPr>
                <w:rFonts w:hint="eastAsia" w:ascii="宋体" w:hAnsi="宋体" w:eastAsia="宋体" w:cs="宋体"/>
                <w:color w:val="auto"/>
                <w:sz w:val="24"/>
                <w:szCs w:val="24"/>
                <w:highlight w:val="none"/>
              </w:rPr>
              <w:t>年，新建科技企业孵化园</w:t>
            </w:r>
            <w:r>
              <w:rPr>
                <w:rFonts w:hint="eastAsia" w:ascii="Times New Roman" w:hAnsi="Times New Roman"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w:t>
            </w:r>
          </w:p>
          <w:p>
            <w:pPr>
              <w:spacing w:line="288" w:lineRule="auto"/>
              <w:ind w:firstLine="0" w:firstLineChars="0"/>
              <w:rPr>
                <w:rFonts w:hint="eastAsia" w:ascii="宋体" w:hAnsi="宋体" w:eastAsia="宋体" w:cs="宋体"/>
                <w:color w:val="auto"/>
                <w:sz w:val="24"/>
                <w:szCs w:val="24"/>
                <w:highlight w:val="none"/>
              </w:rPr>
            </w:pPr>
            <w:r>
              <w:rPr>
                <w:rFonts w:hint="eastAsia" w:ascii="Times New Roman" w:hAnsi="Times New Roman" w:eastAsia="宋体" w:cs="宋体"/>
                <w:b/>
                <w:bCs/>
                <w:color w:val="auto"/>
                <w:sz w:val="24"/>
                <w:szCs w:val="24"/>
                <w:highlight w:val="none"/>
                <w:lang w:val="en-US" w:eastAsia="zh-CN"/>
              </w:rPr>
              <w:t>3.</w:t>
            </w:r>
            <w:r>
              <w:rPr>
                <w:rFonts w:hint="eastAsia"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创新团队和领军人物培育计划：</w:t>
            </w:r>
            <w:r>
              <w:rPr>
                <w:rFonts w:hint="eastAsia" w:ascii="宋体" w:hAnsi="宋体" w:eastAsia="宋体" w:cs="宋体"/>
                <w:color w:val="auto"/>
                <w:sz w:val="24"/>
                <w:szCs w:val="24"/>
                <w:highlight w:val="none"/>
              </w:rPr>
              <w:t>到</w:t>
            </w:r>
            <w:r>
              <w:rPr>
                <w:rFonts w:hint="eastAsia" w:ascii="Times New Roman" w:hAnsi="Times New Roman" w:eastAsia="宋体" w:cs="宋体"/>
                <w:color w:val="auto"/>
                <w:sz w:val="24"/>
                <w:szCs w:val="24"/>
                <w:highlight w:val="none"/>
                <w:lang w:eastAsia="zh-CN"/>
              </w:rPr>
              <w:t>2025</w:t>
            </w:r>
            <w:r>
              <w:rPr>
                <w:rFonts w:hint="eastAsia" w:ascii="宋体" w:hAnsi="宋体" w:eastAsia="宋体" w:cs="宋体"/>
                <w:color w:val="auto"/>
                <w:sz w:val="24"/>
                <w:szCs w:val="24"/>
                <w:highlight w:val="none"/>
              </w:rPr>
              <w:t>年，累计引进院士团队</w:t>
            </w:r>
            <w:r>
              <w:rPr>
                <w:rFonts w:hint="eastAsia" w:ascii="Times New Roman" w:hAnsi="Times New Roman"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个，建立博士工作站</w:t>
            </w:r>
            <w:r>
              <w:rPr>
                <w:rFonts w:hint="eastAsia" w:ascii="Times New Roman" w:hAnsi="Times New Roman"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w:t>
            </w:r>
          </w:p>
          <w:p>
            <w:pPr>
              <w:widowControl w:val="0"/>
              <w:spacing w:line="400" w:lineRule="exact"/>
              <w:ind w:left="0" w:leftChars="0" w:firstLine="0" w:firstLineChars="0"/>
              <w:jc w:val="left"/>
              <w:textAlignment w:val="auto"/>
              <w:rPr>
                <w:rFonts w:hint="default" w:ascii="宋体" w:hAnsi="宋体" w:eastAsia="宋体" w:cs="宋体"/>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4.</w:t>
            </w:r>
            <w:r>
              <w:rPr>
                <w:rFonts w:hint="eastAsia"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科创平台建设项目：</w:t>
            </w:r>
            <w:r>
              <w:rPr>
                <w:rFonts w:hint="eastAsia" w:ascii="宋体" w:hAnsi="宋体" w:eastAsia="宋体" w:cs="宋体"/>
                <w:b w:val="0"/>
                <w:bCs w:val="0"/>
                <w:color w:val="auto"/>
                <w:sz w:val="24"/>
                <w:szCs w:val="24"/>
                <w:highlight w:val="none"/>
                <w:lang w:val="en-US" w:eastAsia="zh-CN"/>
              </w:rPr>
              <w:t>重点建设</w:t>
            </w:r>
            <w:r>
              <w:rPr>
                <w:rFonts w:hint="eastAsia" w:ascii="宋体" w:hAnsi="宋体" w:eastAsia="宋体" w:cs="宋体"/>
                <w:color w:val="auto"/>
                <w:kern w:val="2"/>
                <w:sz w:val="24"/>
                <w:szCs w:val="24"/>
                <w:highlight w:val="none"/>
                <w:lang w:val="en-US" w:eastAsia="zh-CN"/>
              </w:rPr>
              <w:t>湛江湾实验室龙王湾研发基地一期工程、</w:t>
            </w:r>
            <w:r>
              <w:rPr>
                <w:rFonts w:hint="eastAsia" w:ascii="宋体" w:hAnsi="宋体" w:eastAsia="宋体" w:cs="宋体"/>
                <w:color w:val="auto"/>
                <w:sz w:val="24"/>
                <w:szCs w:val="24"/>
                <w:highlight w:val="none"/>
                <w:lang w:val="en-US" w:eastAsia="zh-CN"/>
              </w:rPr>
              <w:t>中科院海洋监测产业园、海洋科技研发及成果展示交流中心、湛江海洋科技研究中心水下机器人试验基地、湛江海洋科技研究中心保障服务基地、龙王湾科研码头、海上风电机组智能化总装基地、智能海上风电运维中心等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b/>
                <w:bCs/>
                <w:color w:val="auto"/>
                <w:kern w:val="2"/>
                <w:sz w:val="24"/>
                <w:szCs w:val="24"/>
                <w:highlight w:val="none"/>
                <w:lang w:val="en-US" w:eastAsia="zh-CN"/>
              </w:rPr>
              <w:t>70</w:t>
            </w:r>
            <w:r>
              <w:rPr>
                <w:rFonts w:hint="eastAsia" w:ascii="宋体" w:hAnsi="宋体" w:eastAsia="宋体" w:cs="宋体"/>
                <w:color w:val="auto"/>
                <w:kern w:val="2"/>
                <w:sz w:val="24"/>
                <w:szCs w:val="24"/>
                <w:highlight w:val="none"/>
              </w:rPr>
              <w:t>亿元。</w:t>
            </w:r>
          </w:p>
        </w:tc>
      </w:tr>
    </w:tbl>
    <w:p>
      <w:pPr>
        <w:ind w:firstLine="640"/>
        <w:rPr>
          <w:color w:val="auto"/>
          <w:highlight w:val="none"/>
        </w:rPr>
      </w:pP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78" w:name="_Toc1085"/>
      <w:bookmarkStart w:id="79" w:name="_Toc23134"/>
      <w:bookmarkStart w:id="80" w:name="_Toc14196"/>
      <w:bookmarkStart w:id="81" w:name="_Toc156"/>
      <w:bookmarkStart w:id="82" w:name="_Toc53003165"/>
      <w:bookmarkStart w:id="83" w:name="_Toc11776"/>
      <w:bookmarkStart w:id="84" w:name="_Toc19866"/>
      <w:r>
        <w:rPr>
          <w:color w:val="auto"/>
          <w:highlight w:val="none"/>
        </w:rPr>
        <w:t xml:space="preserve">第四章  </w:t>
      </w:r>
      <w:bookmarkEnd w:id="78"/>
      <w:bookmarkEnd w:id="79"/>
      <w:bookmarkEnd w:id="80"/>
      <w:bookmarkEnd w:id="81"/>
      <w:bookmarkEnd w:id="82"/>
      <w:bookmarkEnd w:id="83"/>
      <w:r>
        <w:rPr>
          <w:rFonts w:hint="eastAsia"/>
          <w:color w:val="auto"/>
          <w:highlight w:val="none"/>
        </w:rPr>
        <w:t>转型优化升级 构建现代产业新体系</w:t>
      </w:r>
      <w:bookmarkEnd w:id="84"/>
    </w:p>
    <w:p>
      <w:pPr>
        <w:ind w:firstLine="640"/>
        <w:rPr>
          <w:color w:val="auto"/>
          <w:highlight w:val="none"/>
        </w:rPr>
      </w:pPr>
      <w:bookmarkStart w:id="85" w:name="_Toc10563"/>
      <w:bookmarkStart w:id="86" w:name="_Toc15106"/>
      <w:bookmarkStart w:id="87" w:name="_Toc32575"/>
      <w:bookmarkStart w:id="88" w:name="_Toc19069"/>
      <w:bookmarkStart w:id="89" w:name="_Toc26513"/>
      <w:r>
        <w:rPr>
          <w:rFonts w:hint="eastAsia" w:ascii="仿宋" w:hAnsi="仿宋" w:cs="仿宋"/>
          <w:color w:val="auto"/>
          <w:highlight w:val="none"/>
        </w:rPr>
        <w:t>以“四区融合”为抓手，围绕打造</w:t>
      </w:r>
      <w:r>
        <w:rPr>
          <w:rFonts w:hint="eastAsia" w:ascii="仿宋" w:hAnsi="仿宋" w:cs="仿宋"/>
          <w:color w:val="auto"/>
          <w:highlight w:val="none"/>
          <w:lang w:eastAsia="zh-CN"/>
        </w:rPr>
        <w:t>国家沿海经济带先行区科创中心</w:t>
      </w:r>
      <w:r>
        <w:rPr>
          <w:rFonts w:hint="eastAsia" w:ascii="仿宋" w:hAnsi="仿宋" w:cs="仿宋"/>
          <w:color w:val="auto"/>
          <w:highlight w:val="none"/>
        </w:rPr>
        <w:t>、</w:t>
      </w:r>
      <w:r>
        <w:rPr>
          <w:rFonts w:hint="eastAsia" w:ascii="仿宋" w:hAnsi="仿宋" w:cs="仿宋"/>
          <w:color w:val="auto"/>
          <w:highlight w:val="none"/>
          <w:lang w:eastAsia="zh-CN"/>
        </w:rPr>
        <w:t>省域副中心城市核心城区、</w:t>
      </w:r>
      <w:r>
        <w:rPr>
          <w:rFonts w:hint="eastAsia" w:ascii="仿宋" w:hAnsi="仿宋" w:cs="仿宋"/>
          <w:color w:val="auto"/>
          <w:highlight w:val="none"/>
        </w:rPr>
        <w:t>国家</w:t>
      </w:r>
      <w:r>
        <w:rPr>
          <w:rFonts w:hint="eastAsia" w:ascii="仿宋" w:hAnsi="仿宋" w:cs="仿宋"/>
          <w:color w:val="auto"/>
          <w:highlight w:val="none"/>
          <w:lang w:val="en-US" w:eastAsia="zh-CN"/>
        </w:rPr>
        <w:t>海洋休闲</w:t>
      </w:r>
      <w:r>
        <w:rPr>
          <w:rFonts w:hint="eastAsia" w:ascii="仿宋" w:hAnsi="仿宋" w:cs="仿宋"/>
          <w:color w:val="auto"/>
          <w:highlight w:val="none"/>
        </w:rPr>
        <w:t>旅游示范中心和</w:t>
      </w:r>
      <w:r>
        <w:rPr>
          <w:rFonts w:hint="eastAsia" w:ascii="仿宋" w:hAnsi="仿宋" w:cs="仿宋"/>
          <w:color w:val="auto"/>
          <w:highlight w:val="none"/>
          <w:lang w:eastAsia="zh-CN"/>
        </w:rPr>
        <w:t>湛江国际会展贸易中心</w:t>
      </w:r>
      <w:r>
        <w:rPr>
          <w:rFonts w:hint="eastAsia" w:ascii="仿宋" w:hAnsi="仿宋" w:cs="仿宋"/>
          <w:color w:val="auto"/>
          <w:highlight w:val="none"/>
        </w:rPr>
        <w:t>为</w:t>
      </w:r>
      <w:r>
        <w:rPr>
          <w:color w:val="auto"/>
          <w:highlight w:val="none"/>
        </w:rPr>
        <w:t>目标方向，着力发展生物医药</w:t>
      </w:r>
      <w:r>
        <w:rPr>
          <w:rFonts w:hint="eastAsia"/>
          <w:color w:val="auto"/>
          <w:highlight w:val="none"/>
          <w:lang w:eastAsia="zh-CN"/>
        </w:rPr>
        <w:t>、</w:t>
      </w:r>
      <w:r>
        <w:rPr>
          <w:rFonts w:hint="eastAsia"/>
          <w:color w:val="auto"/>
          <w:highlight w:val="none"/>
          <w:lang w:val="en-US" w:eastAsia="zh-CN"/>
        </w:rPr>
        <w:t>海洋经济、电子信息</w:t>
      </w:r>
      <w:r>
        <w:rPr>
          <w:color w:val="auto"/>
          <w:highlight w:val="none"/>
        </w:rPr>
        <w:t>产业，深入推进家电制造、农海产品加工产业</w:t>
      </w:r>
      <w:r>
        <w:rPr>
          <w:rFonts w:hint="eastAsia"/>
          <w:color w:val="auto"/>
          <w:highlight w:val="none"/>
          <w:lang w:val="en-US" w:eastAsia="zh-CN"/>
        </w:rPr>
        <w:t>及饲料企业</w:t>
      </w:r>
      <w:r>
        <w:rPr>
          <w:color w:val="auto"/>
          <w:highlight w:val="none"/>
        </w:rPr>
        <w:t>转型升级，重点打造现代会展商贸业、</w:t>
      </w:r>
      <w:r>
        <w:rPr>
          <w:rFonts w:hint="eastAsia"/>
          <w:color w:val="auto"/>
          <w:highlight w:val="none"/>
          <w:lang w:val="en-US" w:eastAsia="zh-CN"/>
        </w:rPr>
        <w:t>总部经济、</w:t>
      </w:r>
      <w:r>
        <w:rPr>
          <w:color w:val="auto"/>
          <w:highlight w:val="none"/>
        </w:rPr>
        <w:t>特色滨海旅游业和现代物流业</w:t>
      </w:r>
      <w:r>
        <w:rPr>
          <w:rFonts w:hint="eastAsia"/>
          <w:color w:val="auto"/>
          <w:highlight w:val="none"/>
          <w:lang w:val="en-US" w:eastAsia="zh-CN"/>
        </w:rPr>
        <w:t>等</w:t>
      </w:r>
      <w:r>
        <w:rPr>
          <w:color w:val="auto"/>
          <w:highlight w:val="none"/>
        </w:rPr>
        <w:t>现代服务业。</w:t>
      </w:r>
      <w:r>
        <w:rPr>
          <w:rFonts w:hint="eastAsia"/>
          <w:color w:val="auto"/>
          <w:highlight w:val="none"/>
        </w:rPr>
        <w:t>深入实施市、区“五大产业发展计划”，</w:t>
      </w:r>
      <w:r>
        <w:rPr>
          <w:color w:val="auto"/>
          <w:highlight w:val="none"/>
        </w:rPr>
        <w:t>构建</w:t>
      </w:r>
      <w:r>
        <w:rPr>
          <w:rFonts w:hint="eastAsia" w:ascii="仿宋" w:hAnsi="仿宋" w:cs="仿宋"/>
          <w:color w:val="auto"/>
          <w:highlight w:val="none"/>
        </w:rPr>
        <w:t>“</w:t>
      </w:r>
      <w:r>
        <w:rPr>
          <w:rFonts w:hint="eastAsia" w:ascii="Times New Roman" w:hAnsi="Times New Roman"/>
          <w:color w:val="auto"/>
          <w:highlight w:val="none"/>
          <w:lang w:val="en-US" w:eastAsia="zh-CN"/>
        </w:rPr>
        <w:t>3</w:t>
      </w:r>
      <w:r>
        <w:rPr>
          <w:color w:val="auto"/>
          <w:highlight w:val="none"/>
        </w:rPr>
        <w:t>+</w:t>
      </w:r>
      <w:r>
        <w:rPr>
          <w:rFonts w:hint="eastAsia" w:ascii="Times New Roman" w:hAnsi="Times New Roman"/>
          <w:color w:val="auto"/>
          <w:highlight w:val="none"/>
          <w:lang w:eastAsia="zh-CN"/>
        </w:rPr>
        <w:t>3</w:t>
      </w:r>
      <w:r>
        <w:rPr>
          <w:color w:val="auto"/>
          <w:highlight w:val="none"/>
        </w:rPr>
        <w:t>+</w:t>
      </w:r>
      <w:r>
        <w:rPr>
          <w:rFonts w:hint="eastAsia" w:ascii="Times New Roman" w:hAnsi="Times New Roman"/>
          <w:color w:val="auto"/>
          <w:highlight w:val="none"/>
          <w:lang w:eastAsia="zh-CN"/>
        </w:rPr>
        <w:t>5</w:t>
      </w:r>
      <w:r>
        <w:rPr>
          <w:rFonts w:hint="eastAsia" w:ascii="仿宋" w:hAnsi="仿宋" w:cs="仿宋"/>
          <w:color w:val="auto"/>
          <w:highlight w:val="none"/>
        </w:rPr>
        <w:t>”</w:t>
      </w:r>
      <w:r>
        <w:rPr>
          <w:color w:val="auto"/>
          <w:highlight w:val="none"/>
        </w:rPr>
        <w:t>现代化产业体系，形成功能定位合理、区域特色鲜明的产业集群发展格局，推动坡头社会经济高质量跨越式发展。</w:t>
      </w:r>
    </w:p>
    <w:p>
      <w:pPr>
        <w:ind w:firstLine="0" w:firstLineChars="0"/>
        <w:jc w:val="center"/>
        <w:rPr>
          <w:rFonts w:ascii="宋体" w:hAnsi="宋体" w:eastAsia="宋体" w:cs="宋体"/>
          <w:b/>
          <w:bCs/>
          <w:color w:val="auto"/>
          <w:sz w:val="28"/>
          <w:szCs w:val="18"/>
          <w:highlight w:val="none"/>
        </w:rPr>
      </w:pPr>
      <w:r>
        <w:rPr>
          <w:rFonts w:hint="eastAsia" w:ascii="宋体" w:hAnsi="宋体" w:eastAsia="宋体" w:cs="宋体"/>
          <w:b/>
          <w:bCs/>
          <w:color w:val="auto"/>
          <w:sz w:val="28"/>
          <w:szCs w:val="18"/>
          <w:highlight w:val="none"/>
        </w:rPr>
        <w:t>表</w:t>
      </w:r>
      <w:r>
        <w:rPr>
          <w:rFonts w:hint="eastAsia" w:ascii="宋体" w:hAnsi="宋体" w:eastAsia="宋体" w:cs="宋体"/>
          <w:b/>
          <w:bCs/>
          <w:color w:val="auto"/>
          <w:sz w:val="28"/>
          <w:szCs w:val="18"/>
          <w:highlight w:val="none"/>
        </w:rPr>
        <w:fldChar w:fldCharType="begin"/>
      </w:r>
      <w:r>
        <w:rPr>
          <w:rFonts w:hint="eastAsia" w:ascii="宋体" w:hAnsi="宋体" w:eastAsia="宋体" w:cs="宋体"/>
          <w:b/>
          <w:bCs/>
          <w:color w:val="auto"/>
          <w:sz w:val="28"/>
          <w:szCs w:val="18"/>
          <w:highlight w:val="none"/>
        </w:rPr>
        <w:instrText xml:space="preserve">SEQ 表 \* ARABIC</w:instrText>
      </w:r>
      <w:r>
        <w:rPr>
          <w:rFonts w:hint="eastAsia" w:ascii="宋体" w:hAnsi="宋体" w:eastAsia="宋体" w:cs="宋体"/>
          <w:b/>
          <w:bCs/>
          <w:color w:val="auto"/>
          <w:sz w:val="28"/>
          <w:szCs w:val="18"/>
          <w:highlight w:val="none"/>
        </w:rPr>
        <w:fldChar w:fldCharType="separate"/>
      </w:r>
      <w:r>
        <w:rPr>
          <w:rFonts w:hint="eastAsia" w:ascii="Times New Roman" w:hAnsi="Times New Roman" w:eastAsia="宋体" w:cs="宋体"/>
          <w:b/>
          <w:bCs/>
          <w:color w:val="auto"/>
          <w:sz w:val="28"/>
          <w:szCs w:val="18"/>
          <w:highlight w:val="none"/>
          <w:lang w:eastAsia="zh-CN"/>
        </w:rPr>
        <w:t>1</w:t>
      </w:r>
      <w:r>
        <w:rPr>
          <w:rFonts w:hint="eastAsia" w:ascii="宋体" w:hAnsi="宋体" w:eastAsia="宋体" w:cs="宋体"/>
          <w:b/>
          <w:bCs/>
          <w:color w:val="auto"/>
          <w:sz w:val="28"/>
          <w:szCs w:val="18"/>
          <w:highlight w:val="none"/>
        </w:rPr>
        <w:fldChar w:fldCharType="end"/>
      </w:r>
      <w:r>
        <w:rPr>
          <w:rFonts w:hint="eastAsia" w:ascii="宋体" w:hAnsi="宋体" w:eastAsia="宋体" w:cs="宋体"/>
          <w:b/>
          <w:bCs/>
          <w:color w:val="auto"/>
          <w:sz w:val="28"/>
          <w:szCs w:val="18"/>
          <w:highlight w:val="none"/>
        </w:rPr>
        <w:t>：坡头区现代产业体系</w:t>
      </w:r>
    </w:p>
    <w:tbl>
      <w:tblPr>
        <w:tblStyle w:val="14"/>
        <w:tblW w:w="5126" w:type="pct"/>
        <w:jc w:val="center"/>
        <w:tblLayout w:type="autofit"/>
        <w:tblCellMar>
          <w:top w:w="0" w:type="dxa"/>
          <w:left w:w="108" w:type="dxa"/>
          <w:bottom w:w="0" w:type="dxa"/>
          <w:right w:w="108" w:type="dxa"/>
        </w:tblCellMar>
      </w:tblPr>
      <w:tblGrid>
        <w:gridCol w:w="1690"/>
        <w:gridCol w:w="2150"/>
        <w:gridCol w:w="4897"/>
      </w:tblGrid>
      <w:tr>
        <w:tblPrEx>
          <w:tblCellMar>
            <w:top w:w="0" w:type="dxa"/>
            <w:left w:w="108" w:type="dxa"/>
            <w:bottom w:w="0" w:type="dxa"/>
            <w:right w:w="108" w:type="dxa"/>
          </w:tblCellMar>
        </w:tblPrEx>
        <w:trPr>
          <w:trHeight w:val="604" w:hRule="atLeast"/>
          <w:jc w:val="center"/>
        </w:trPr>
        <w:tc>
          <w:tcPr>
            <w:tcW w:w="967"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产业分类</w:t>
            </w:r>
          </w:p>
        </w:tc>
        <w:tc>
          <w:tcPr>
            <w:tcW w:w="1230" w:type="pct"/>
            <w:tcBorders>
              <w:top w:val="single" w:color="auto" w:sz="4" w:space="0"/>
              <w:left w:val="nil"/>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产业领域</w:t>
            </w:r>
          </w:p>
        </w:tc>
        <w:tc>
          <w:tcPr>
            <w:tcW w:w="2801" w:type="pct"/>
            <w:tcBorders>
              <w:top w:val="single" w:color="auto" w:sz="4" w:space="0"/>
              <w:left w:val="nil"/>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重点发展方向</w:t>
            </w:r>
          </w:p>
        </w:tc>
      </w:tr>
      <w:tr>
        <w:tblPrEx>
          <w:tblCellMar>
            <w:top w:w="0" w:type="dxa"/>
            <w:left w:w="108" w:type="dxa"/>
            <w:bottom w:w="0" w:type="dxa"/>
            <w:right w:w="108" w:type="dxa"/>
          </w:tblCellMar>
        </w:tblPrEx>
        <w:trPr>
          <w:trHeight w:val="849" w:hRule="atLeast"/>
          <w:jc w:val="center"/>
        </w:trPr>
        <w:tc>
          <w:tcPr>
            <w:tcW w:w="967" w:type="pct"/>
            <w:vMerge w:val="restart"/>
            <w:tcBorders>
              <w:top w:val="nil"/>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w:t>
            </w:r>
            <w:r>
              <w:rPr>
                <w:rFonts w:hint="eastAsia" w:ascii="Times New Roman" w:hAnsi="Times New Roman" w:eastAsia="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”大战略性新兴产业</w:t>
            </w:r>
          </w:p>
        </w:tc>
        <w:tc>
          <w:tcPr>
            <w:tcW w:w="1230" w:type="pct"/>
            <w:tcBorders>
              <w:top w:val="nil"/>
              <w:left w:val="nil"/>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生物医药</w:t>
            </w:r>
          </w:p>
        </w:tc>
        <w:tc>
          <w:tcPr>
            <w:tcW w:w="2801" w:type="pct"/>
            <w:tcBorders>
              <w:top w:val="nil"/>
              <w:left w:val="nil"/>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海洋药物、医疗器械、医疗设备、现代南药</w:t>
            </w:r>
          </w:p>
        </w:tc>
      </w:tr>
      <w:tr>
        <w:tblPrEx>
          <w:tblCellMar>
            <w:top w:w="0" w:type="dxa"/>
            <w:left w:w="108" w:type="dxa"/>
            <w:bottom w:w="0" w:type="dxa"/>
            <w:right w:w="108" w:type="dxa"/>
          </w:tblCellMar>
        </w:tblPrEx>
        <w:trPr>
          <w:trHeight w:val="717" w:hRule="atLeast"/>
          <w:jc w:val="center"/>
        </w:trPr>
        <w:tc>
          <w:tcPr>
            <w:tcW w:w="967" w:type="pct"/>
            <w:vMerge w:val="continue"/>
            <w:tcBorders>
              <w:top w:val="nil"/>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b/>
                <w:bCs/>
                <w:color w:val="auto"/>
                <w:kern w:val="0"/>
                <w:sz w:val="21"/>
                <w:szCs w:val="21"/>
                <w:highlight w:val="none"/>
              </w:rPr>
            </w:pPr>
          </w:p>
        </w:tc>
        <w:tc>
          <w:tcPr>
            <w:tcW w:w="1230" w:type="pct"/>
            <w:tcBorders>
              <w:top w:val="nil"/>
              <w:left w:val="nil"/>
              <w:bottom w:val="single" w:color="auto" w:sz="4" w:space="0"/>
              <w:right w:val="single" w:color="auto" w:sz="4" w:space="0"/>
            </w:tcBorders>
            <w:vAlign w:val="center"/>
          </w:tcPr>
          <w:p>
            <w:pPr>
              <w:widowControl/>
              <w:spacing w:line="540" w:lineRule="exact"/>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海洋经济</w:t>
            </w:r>
          </w:p>
        </w:tc>
        <w:tc>
          <w:tcPr>
            <w:tcW w:w="2801" w:type="pct"/>
            <w:tcBorders>
              <w:top w:val="nil"/>
              <w:left w:val="nil"/>
              <w:bottom w:val="single" w:color="auto" w:sz="4" w:space="0"/>
              <w:right w:val="single" w:color="auto" w:sz="4" w:space="0"/>
            </w:tcBorders>
            <w:vAlign w:val="center"/>
          </w:tcPr>
          <w:p>
            <w:pPr>
              <w:widowControl/>
              <w:spacing w:line="540" w:lineRule="exact"/>
              <w:ind w:firstLine="0" w:firstLine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海工</w:t>
            </w:r>
            <w:r>
              <w:rPr>
                <w:rFonts w:hint="eastAsia" w:ascii="宋体" w:hAnsi="宋体" w:eastAsia="宋体" w:cs="宋体"/>
                <w:color w:val="auto"/>
                <w:kern w:val="0"/>
                <w:sz w:val="21"/>
                <w:szCs w:val="21"/>
                <w:highlight w:val="none"/>
              </w:rPr>
              <w:t>装备、船舶修造、游艇、军民装备</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海洋能源</w:t>
            </w:r>
          </w:p>
        </w:tc>
      </w:tr>
      <w:tr>
        <w:tblPrEx>
          <w:tblCellMar>
            <w:top w:w="0" w:type="dxa"/>
            <w:left w:w="108" w:type="dxa"/>
            <w:bottom w:w="0" w:type="dxa"/>
            <w:right w:w="108" w:type="dxa"/>
          </w:tblCellMar>
        </w:tblPrEx>
        <w:trPr>
          <w:trHeight w:val="566" w:hRule="atLeast"/>
          <w:jc w:val="center"/>
        </w:trPr>
        <w:tc>
          <w:tcPr>
            <w:tcW w:w="967" w:type="pct"/>
            <w:vMerge w:val="continue"/>
            <w:tcBorders>
              <w:top w:val="nil"/>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b/>
                <w:bCs/>
                <w:color w:val="auto"/>
                <w:kern w:val="0"/>
                <w:sz w:val="21"/>
                <w:szCs w:val="21"/>
                <w:highlight w:val="none"/>
              </w:rPr>
            </w:pPr>
          </w:p>
        </w:tc>
        <w:tc>
          <w:tcPr>
            <w:tcW w:w="1230" w:type="pct"/>
            <w:tcBorders>
              <w:top w:val="nil"/>
              <w:left w:val="nil"/>
              <w:bottom w:val="single" w:color="auto" w:sz="4" w:space="0"/>
              <w:right w:val="single" w:color="auto" w:sz="4" w:space="0"/>
            </w:tcBorders>
            <w:vAlign w:val="center"/>
          </w:tcPr>
          <w:p>
            <w:pPr>
              <w:widowControl/>
              <w:spacing w:line="540" w:lineRule="exact"/>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电子信息</w:t>
            </w:r>
          </w:p>
        </w:tc>
        <w:tc>
          <w:tcPr>
            <w:tcW w:w="2801" w:type="pct"/>
            <w:tcBorders>
              <w:top w:val="nil"/>
              <w:left w:val="nil"/>
              <w:bottom w:val="single" w:color="auto" w:sz="4" w:space="0"/>
              <w:right w:val="single" w:color="auto" w:sz="4" w:space="0"/>
            </w:tcBorders>
            <w:vAlign w:val="center"/>
          </w:tcPr>
          <w:p>
            <w:pPr>
              <w:widowControl/>
              <w:spacing w:line="540" w:lineRule="exact"/>
              <w:ind w:firstLine="0" w:firstLineChars="0"/>
              <w:rPr>
                <w:rFonts w:hint="eastAsia" w:ascii="宋体" w:hAnsi="宋体" w:eastAsia="仿宋" w:cs="宋体"/>
                <w:color w:val="auto"/>
                <w:kern w:val="0"/>
                <w:sz w:val="21"/>
                <w:szCs w:val="21"/>
                <w:highlight w:val="none"/>
                <w:lang w:eastAsia="zh-CN"/>
              </w:rPr>
            </w:pPr>
            <w:r>
              <w:rPr>
                <w:rFonts w:hint="eastAsia" w:ascii="宋体" w:hAnsi="宋体" w:eastAsia="宋体" w:cs="宋体"/>
                <w:color w:val="auto"/>
                <w:kern w:val="0"/>
                <w:sz w:val="21"/>
                <w:szCs w:val="21"/>
                <w:highlight w:val="none"/>
              </w:rPr>
              <w:t>海洋电子信息、软件开发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智能家居</w:t>
            </w:r>
          </w:p>
        </w:tc>
      </w:tr>
      <w:tr>
        <w:tblPrEx>
          <w:tblCellMar>
            <w:top w:w="0" w:type="dxa"/>
            <w:left w:w="108" w:type="dxa"/>
            <w:bottom w:w="0" w:type="dxa"/>
            <w:right w:w="108" w:type="dxa"/>
          </w:tblCellMar>
        </w:tblPrEx>
        <w:trPr>
          <w:trHeight w:val="519" w:hRule="atLeast"/>
          <w:jc w:val="center"/>
        </w:trPr>
        <w:tc>
          <w:tcPr>
            <w:tcW w:w="967" w:type="pct"/>
            <w:vMerge w:val="restart"/>
            <w:tcBorders>
              <w:top w:val="nil"/>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w:t>
            </w:r>
            <w:r>
              <w:rPr>
                <w:rFonts w:hint="eastAsia" w:ascii="Times New Roman" w:hAnsi="Times New Roman" w:eastAsia="宋体" w:cs="宋体"/>
                <w:b/>
                <w:bCs/>
                <w:color w:val="auto"/>
                <w:kern w:val="0"/>
                <w:sz w:val="21"/>
                <w:szCs w:val="21"/>
                <w:highlight w:val="none"/>
                <w:lang w:eastAsia="zh-CN"/>
              </w:rPr>
              <w:t>3</w:t>
            </w:r>
            <w:r>
              <w:rPr>
                <w:rFonts w:hint="eastAsia" w:ascii="宋体" w:hAnsi="宋体" w:eastAsia="宋体" w:cs="宋体"/>
                <w:b/>
                <w:bCs/>
                <w:color w:val="auto"/>
                <w:kern w:val="0"/>
                <w:sz w:val="21"/>
                <w:szCs w:val="21"/>
                <w:highlight w:val="none"/>
              </w:rPr>
              <w:t>”大传统优势产业</w:t>
            </w:r>
          </w:p>
        </w:tc>
        <w:tc>
          <w:tcPr>
            <w:tcW w:w="1230" w:type="pct"/>
            <w:tcBorders>
              <w:top w:val="nil"/>
              <w:left w:val="nil"/>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家电制造</w:t>
            </w:r>
          </w:p>
        </w:tc>
        <w:tc>
          <w:tcPr>
            <w:tcW w:w="2801" w:type="pct"/>
            <w:tcBorders>
              <w:top w:val="nil"/>
              <w:left w:val="nil"/>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智能电饭煲、智能小家电及其配套</w:t>
            </w:r>
          </w:p>
        </w:tc>
      </w:tr>
      <w:tr>
        <w:tblPrEx>
          <w:tblCellMar>
            <w:top w:w="0" w:type="dxa"/>
            <w:left w:w="108" w:type="dxa"/>
            <w:bottom w:w="0" w:type="dxa"/>
            <w:right w:w="108" w:type="dxa"/>
          </w:tblCellMar>
        </w:tblPrEx>
        <w:trPr>
          <w:trHeight w:val="1000" w:hRule="atLeast"/>
          <w:jc w:val="center"/>
        </w:trPr>
        <w:tc>
          <w:tcPr>
            <w:tcW w:w="967" w:type="pct"/>
            <w:vMerge w:val="continue"/>
            <w:tcBorders>
              <w:top w:val="nil"/>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b/>
                <w:bCs/>
                <w:color w:val="auto"/>
                <w:kern w:val="0"/>
                <w:sz w:val="21"/>
                <w:szCs w:val="21"/>
                <w:highlight w:val="none"/>
              </w:rPr>
            </w:pPr>
          </w:p>
        </w:tc>
        <w:tc>
          <w:tcPr>
            <w:tcW w:w="1230" w:type="pct"/>
            <w:tcBorders>
              <w:top w:val="nil"/>
              <w:left w:val="nil"/>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农海产品加工</w:t>
            </w:r>
          </w:p>
        </w:tc>
        <w:tc>
          <w:tcPr>
            <w:tcW w:w="2801" w:type="pct"/>
            <w:tcBorders>
              <w:top w:val="nil"/>
              <w:left w:val="nil"/>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农产品加工、海水养殖、远洋渔业、水产品精深加工及综合利用、现代食品饮料加工、冷链物流</w:t>
            </w:r>
          </w:p>
        </w:tc>
      </w:tr>
      <w:tr>
        <w:tblPrEx>
          <w:tblCellMar>
            <w:top w:w="0" w:type="dxa"/>
            <w:left w:w="108" w:type="dxa"/>
            <w:bottom w:w="0" w:type="dxa"/>
            <w:right w:w="108" w:type="dxa"/>
          </w:tblCellMar>
        </w:tblPrEx>
        <w:trPr>
          <w:trHeight w:val="566" w:hRule="atLeast"/>
          <w:jc w:val="center"/>
        </w:trPr>
        <w:tc>
          <w:tcPr>
            <w:tcW w:w="967" w:type="pct"/>
            <w:vMerge w:val="continue"/>
            <w:tcBorders>
              <w:top w:val="nil"/>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b/>
                <w:bCs/>
                <w:color w:val="auto"/>
                <w:kern w:val="0"/>
                <w:sz w:val="21"/>
                <w:szCs w:val="21"/>
                <w:highlight w:val="none"/>
              </w:rPr>
            </w:pPr>
          </w:p>
        </w:tc>
        <w:tc>
          <w:tcPr>
            <w:tcW w:w="1230" w:type="pct"/>
            <w:tcBorders>
              <w:top w:val="nil"/>
              <w:left w:val="nil"/>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饲料加工</w:t>
            </w:r>
          </w:p>
        </w:tc>
        <w:tc>
          <w:tcPr>
            <w:tcW w:w="2801" w:type="pct"/>
            <w:tcBorders>
              <w:top w:val="nil"/>
              <w:left w:val="nil"/>
              <w:bottom w:val="single" w:color="auto" w:sz="4" w:space="0"/>
              <w:right w:val="single" w:color="auto" w:sz="4" w:space="0"/>
            </w:tcBorders>
            <w:vAlign w:val="center"/>
          </w:tcPr>
          <w:p>
            <w:pPr>
              <w:widowControl/>
              <w:spacing w:line="540" w:lineRule="exact"/>
              <w:ind w:firstLine="0" w:firstLineChars="0"/>
              <w:rPr>
                <w:rFonts w:ascii="宋体" w:hAnsi="宋体" w:eastAsia="微软雅黑" w:cs="宋体"/>
                <w:color w:val="auto"/>
                <w:kern w:val="0"/>
                <w:sz w:val="21"/>
                <w:szCs w:val="21"/>
                <w:highlight w:val="none"/>
              </w:rPr>
            </w:pPr>
            <w:r>
              <w:rPr>
                <w:rFonts w:hint="eastAsia" w:ascii="宋体" w:hAnsi="宋体" w:eastAsia="宋体" w:cs="宋体"/>
                <w:color w:val="auto"/>
                <w:kern w:val="0"/>
                <w:sz w:val="21"/>
                <w:szCs w:val="21"/>
                <w:highlight w:val="none"/>
              </w:rPr>
              <w:t>配合饲料、浓缩饲料、添加剂预混合饲料</w:t>
            </w:r>
          </w:p>
        </w:tc>
      </w:tr>
      <w:tr>
        <w:tblPrEx>
          <w:tblCellMar>
            <w:top w:w="0" w:type="dxa"/>
            <w:left w:w="108" w:type="dxa"/>
            <w:bottom w:w="0" w:type="dxa"/>
            <w:right w:w="108" w:type="dxa"/>
          </w:tblCellMar>
        </w:tblPrEx>
        <w:trPr>
          <w:trHeight w:val="566" w:hRule="atLeast"/>
          <w:jc w:val="center"/>
        </w:trPr>
        <w:tc>
          <w:tcPr>
            <w:tcW w:w="967" w:type="pct"/>
            <w:vMerge w:val="restar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w:t>
            </w:r>
            <w:r>
              <w:rPr>
                <w:rFonts w:hint="eastAsia" w:ascii="Times New Roman" w:hAnsi="Times New Roman" w:eastAsia="宋体" w:cs="宋体"/>
                <w:b/>
                <w:bCs/>
                <w:color w:val="auto"/>
                <w:kern w:val="0"/>
                <w:sz w:val="21"/>
                <w:szCs w:val="21"/>
                <w:highlight w:val="none"/>
                <w:lang w:eastAsia="zh-CN"/>
              </w:rPr>
              <w:t>5</w:t>
            </w:r>
            <w:r>
              <w:rPr>
                <w:rFonts w:hint="eastAsia" w:ascii="宋体" w:hAnsi="宋体" w:eastAsia="宋体" w:cs="宋体"/>
                <w:b/>
                <w:bCs/>
                <w:color w:val="auto"/>
                <w:kern w:val="0"/>
                <w:sz w:val="21"/>
                <w:szCs w:val="21"/>
                <w:highlight w:val="none"/>
              </w:rPr>
              <w:t>”大现代服务业</w:t>
            </w:r>
          </w:p>
        </w:tc>
        <w:tc>
          <w:tcPr>
            <w:tcW w:w="1230"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会展商贸业</w:t>
            </w:r>
          </w:p>
        </w:tc>
        <w:tc>
          <w:tcPr>
            <w:tcW w:w="2801"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品牌展会、综合商业、会展中介服务</w:t>
            </w:r>
          </w:p>
        </w:tc>
      </w:tr>
      <w:tr>
        <w:tblPrEx>
          <w:tblCellMar>
            <w:top w:w="0" w:type="dxa"/>
            <w:left w:w="108" w:type="dxa"/>
            <w:bottom w:w="0" w:type="dxa"/>
            <w:right w:w="108" w:type="dxa"/>
          </w:tblCellMar>
        </w:tblPrEx>
        <w:trPr>
          <w:trHeight w:val="566" w:hRule="atLeast"/>
          <w:jc w:val="center"/>
        </w:trPr>
        <w:tc>
          <w:tcPr>
            <w:tcW w:w="96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color w:val="auto"/>
                <w:kern w:val="0"/>
                <w:sz w:val="21"/>
                <w:szCs w:val="21"/>
                <w:highlight w:val="none"/>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总部经济</w:t>
            </w:r>
          </w:p>
        </w:tc>
        <w:tc>
          <w:tcPr>
            <w:tcW w:w="2801"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区域性总部、研发中心、投融资中心、采购中心</w:t>
            </w:r>
          </w:p>
        </w:tc>
      </w:tr>
      <w:tr>
        <w:tblPrEx>
          <w:tblCellMar>
            <w:top w:w="0" w:type="dxa"/>
            <w:left w:w="108" w:type="dxa"/>
            <w:bottom w:w="0" w:type="dxa"/>
            <w:right w:w="108" w:type="dxa"/>
          </w:tblCellMar>
        </w:tblPrEx>
        <w:trPr>
          <w:trHeight w:val="566" w:hRule="atLeast"/>
          <w:jc w:val="center"/>
        </w:trPr>
        <w:tc>
          <w:tcPr>
            <w:tcW w:w="96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color w:val="auto"/>
                <w:kern w:val="0"/>
                <w:sz w:val="21"/>
                <w:szCs w:val="21"/>
                <w:highlight w:val="none"/>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现代物流业</w:t>
            </w:r>
          </w:p>
        </w:tc>
        <w:tc>
          <w:tcPr>
            <w:tcW w:w="2801"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物流加工、仓储配送、智慧物流</w:t>
            </w:r>
          </w:p>
        </w:tc>
      </w:tr>
      <w:tr>
        <w:tblPrEx>
          <w:tblCellMar>
            <w:top w:w="0" w:type="dxa"/>
            <w:left w:w="108" w:type="dxa"/>
            <w:bottom w:w="0" w:type="dxa"/>
            <w:right w:w="108" w:type="dxa"/>
          </w:tblCellMar>
        </w:tblPrEx>
        <w:trPr>
          <w:trHeight w:val="566" w:hRule="atLeast"/>
          <w:jc w:val="center"/>
        </w:trPr>
        <w:tc>
          <w:tcPr>
            <w:tcW w:w="96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color w:val="auto"/>
                <w:kern w:val="0"/>
                <w:sz w:val="21"/>
                <w:szCs w:val="21"/>
                <w:highlight w:val="none"/>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文化创意产业</w:t>
            </w:r>
          </w:p>
        </w:tc>
        <w:tc>
          <w:tcPr>
            <w:tcW w:w="2801"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动漫影视、工艺设计、音像传媒、工业设计</w:t>
            </w:r>
          </w:p>
        </w:tc>
      </w:tr>
      <w:tr>
        <w:tblPrEx>
          <w:tblCellMar>
            <w:top w:w="0" w:type="dxa"/>
            <w:left w:w="108" w:type="dxa"/>
            <w:bottom w:w="0" w:type="dxa"/>
            <w:right w:w="108" w:type="dxa"/>
          </w:tblCellMar>
        </w:tblPrEx>
        <w:trPr>
          <w:trHeight w:val="566" w:hRule="atLeast"/>
          <w:jc w:val="center"/>
        </w:trPr>
        <w:tc>
          <w:tcPr>
            <w:tcW w:w="96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left"/>
              <w:rPr>
                <w:rFonts w:ascii="宋体" w:hAnsi="宋体" w:eastAsia="宋体" w:cs="宋体"/>
                <w:color w:val="auto"/>
                <w:kern w:val="0"/>
                <w:sz w:val="21"/>
                <w:szCs w:val="21"/>
                <w:highlight w:val="none"/>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滨海旅游业</w:t>
            </w:r>
          </w:p>
        </w:tc>
        <w:tc>
          <w:tcPr>
            <w:tcW w:w="2801" w:type="pct"/>
            <w:tcBorders>
              <w:top w:val="single" w:color="auto" w:sz="4" w:space="0"/>
              <w:left w:val="single" w:color="auto" w:sz="4" w:space="0"/>
              <w:bottom w:val="single" w:color="auto" w:sz="4" w:space="0"/>
              <w:right w:val="single" w:color="auto" w:sz="4" w:space="0"/>
            </w:tcBorders>
            <w:vAlign w:val="center"/>
          </w:tcPr>
          <w:p>
            <w:pPr>
              <w:widowControl/>
              <w:spacing w:line="540" w:lineRule="exact"/>
              <w:ind w:firstLine="0" w:firstLineChars="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海岛旅游、主题公园</w:t>
            </w:r>
          </w:p>
        </w:tc>
      </w:tr>
    </w:tbl>
    <w:p>
      <w:pPr>
        <w:pStyle w:val="4"/>
        <w:spacing w:before="62" w:after="62"/>
        <w:ind w:firstLine="0"/>
        <w:jc w:val="center"/>
        <w:rPr>
          <w:rFonts w:hint="default" w:ascii="宋体" w:hAnsi="宋体"/>
          <w:color w:val="auto"/>
          <w:highlight w:val="none"/>
        </w:rPr>
      </w:pPr>
      <w:bookmarkStart w:id="90" w:name="_Toc53003166"/>
      <w:bookmarkStart w:id="91" w:name="_Toc32386"/>
      <w:r>
        <w:rPr>
          <w:rFonts w:hint="default" w:ascii="宋体" w:hAnsi="宋体"/>
          <w:color w:val="auto"/>
          <w:highlight w:val="none"/>
        </w:rPr>
        <w:t>第一节</w:t>
      </w:r>
      <w:bookmarkEnd w:id="85"/>
      <w:bookmarkEnd w:id="86"/>
      <w:bookmarkEnd w:id="87"/>
      <w:bookmarkEnd w:id="88"/>
      <w:bookmarkEnd w:id="89"/>
      <w:bookmarkStart w:id="92" w:name="_Toc10493"/>
      <w:bookmarkStart w:id="93" w:name="_Toc20652"/>
      <w:bookmarkStart w:id="94" w:name="_Toc3954"/>
      <w:bookmarkStart w:id="95" w:name="_Toc10762"/>
      <w:bookmarkStart w:id="96" w:name="_Toc12679"/>
      <w:r>
        <w:rPr>
          <w:rFonts w:hint="default" w:ascii="宋体" w:hAnsi="宋体"/>
          <w:color w:val="auto"/>
          <w:highlight w:val="none"/>
        </w:rPr>
        <w:t xml:space="preserve"> 着力发展</w:t>
      </w:r>
      <w:bookmarkEnd w:id="90"/>
      <w:bookmarkEnd w:id="92"/>
      <w:bookmarkEnd w:id="93"/>
      <w:bookmarkEnd w:id="94"/>
      <w:bookmarkEnd w:id="95"/>
      <w:bookmarkEnd w:id="96"/>
      <w:bookmarkStart w:id="97" w:name="_Toc30603"/>
      <w:bookmarkStart w:id="98" w:name="_Toc31854"/>
      <w:r>
        <w:rPr>
          <w:rFonts w:hint="default" w:ascii="宋体" w:hAnsi="宋体"/>
          <w:color w:val="auto"/>
          <w:highlight w:val="none"/>
        </w:rPr>
        <w:t>战略性新兴产业</w:t>
      </w:r>
      <w:bookmarkEnd w:id="91"/>
      <w:bookmarkEnd w:id="97"/>
      <w:bookmarkEnd w:id="98"/>
    </w:p>
    <w:p>
      <w:pPr>
        <w:ind w:firstLine="640"/>
        <w:rPr>
          <w:color w:val="auto"/>
          <w:highlight w:val="none"/>
        </w:rPr>
      </w:pPr>
      <w:r>
        <w:rPr>
          <w:color w:val="auto"/>
          <w:highlight w:val="none"/>
        </w:rPr>
        <w:t>基于坡头区产业基础和资源禀赋，重点发展海工装备制造、海洋生物医药、海上风电、</w:t>
      </w:r>
      <w:r>
        <w:rPr>
          <w:rFonts w:hint="eastAsia"/>
          <w:color w:val="auto"/>
          <w:highlight w:val="none"/>
          <w:lang w:val="en-US" w:eastAsia="zh-CN"/>
        </w:rPr>
        <w:t>绿色</w:t>
      </w:r>
      <w:r>
        <w:rPr>
          <w:color w:val="auto"/>
          <w:highlight w:val="none"/>
        </w:rPr>
        <w:t>能源等</w:t>
      </w:r>
      <w:r>
        <w:rPr>
          <w:rFonts w:hint="eastAsia"/>
          <w:color w:val="auto"/>
          <w:highlight w:val="none"/>
          <w:lang w:val="en-US" w:eastAsia="zh-CN"/>
        </w:rPr>
        <w:t>战略性新兴</w:t>
      </w:r>
      <w:r>
        <w:rPr>
          <w:color w:val="auto"/>
          <w:highlight w:val="none"/>
        </w:rPr>
        <w:t>产业，打造国家海洋高技术产业基地，推进坡头海洋经济高质量发展。</w:t>
      </w:r>
    </w:p>
    <w:p>
      <w:pPr>
        <w:pStyle w:val="5"/>
        <w:numPr>
          <w:ilvl w:val="0"/>
          <w:numId w:val="1"/>
        </w:numPr>
        <w:bidi w:val="0"/>
        <w:rPr>
          <w:color w:val="auto"/>
          <w:highlight w:val="none"/>
        </w:rPr>
      </w:pPr>
      <w:r>
        <w:rPr>
          <w:color w:val="auto"/>
          <w:highlight w:val="none"/>
        </w:rPr>
        <w:t>培育发展生物医药产业</w:t>
      </w:r>
    </w:p>
    <w:p>
      <w:pPr>
        <w:numPr>
          <w:ilvl w:val="0"/>
          <w:numId w:val="0"/>
        </w:numPr>
        <w:ind w:firstLine="640" w:firstLineChars="200"/>
        <w:rPr>
          <w:color w:val="auto"/>
          <w:highlight w:val="none"/>
        </w:rPr>
      </w:pPr>
      <w:r>
        <w:rPr>
          <w:color w:val="auto"/>
          <w:highlight w:val="none"/>
        </w:rPr>
        <w:t>利用坡头海洋生物资源丰富的优势，充分发挥湛江涉海科研平台和涉海人才集聚</w:t>
      </w:r>
      <w:r>
        <w:rPr>
          <w:rFonts w:hint="eastAsia"/>
          <w:color w:val="auto"/>
          <w:highlight w:val="none"/>
          <w:lang w:val="en-US" w:eastAsia="zh-CN"/>
        </w:rPr>
        <w:t>地</w:t>
      </w:r>
      <w:r>
        <w:rPr>
          <w:color w:val="auto"/>
          <w:highlight w:val="none"/>
        </w:rPr>
        <w:t>海洋科技资源优势，依托湛江湾实验室、广东海洋大学等研究机构和科研院所，积极发展海洋生物医药产业，大力引进国内外海洋生物制药龙头企业，着力引进生物科技企业入驻，发挥海洋生物企业示范带动作用，培育一批具有一定影响力的海洋生物医药技术相关企业。依托广东海洋大学、广东医科大学、湛江湾实验室等高校和科研平台资源，重点发展海洋生物制品精深加工、海洋生物制药等，推进海洋生物医药重点领域研发及应用推广，开展海洋生物基因、功能性食品、活性物质、疫苗和基于生物基因工程的创新药物技术攻关。支持科研机构和企业合作开发海洋创新药物和肽类、海藻多糖类等功能性海洋生物制品。拓展高技术、高附加值的海洋生物制品精深加工产品系列，丰富海洋生物制药品种，打造生物医药产业全产业链，形成从基础研究、技术开发、产业化到规模化发展的特色海洋生物医药产业集群。</w:t>
      </w:r>
    </w:p>
    <w:p>
      <w:pPr>
        <w:pStyle w:val="5"/>
        <w:bidi w:val="0"/>
        <w:rPr>
          <w:rFonts w:hint="default"/>
          <w:color w:val="auto"/>
          <w:highlight w:val="none"/>
          <w:lang w:val="en-US" w:eastAsia="zh-CN"/>
        </w:rPr>
      </w:pPr>
      <w:r>
        <w:rPr>
          <w:rFonts w:hint="eastAsia"/>
          <w:color w:val="auto"/>
          <w:highlight w:val="none"/>
          <w:lang w:val="en-US" w:eastAsia="zh-CN"/>
        </w:rPr>
        <w:t>二、大力发展海洋经济</w:t>
      </w:r>
    </w:p>
    <w:p>
      <w:pPr>
        <w:bidi w:val="0"/>
        <w:rPr>
          <w:color w:val="auto"/>
          <w:highlight w:val="none"/>
        </w:rPr>
      </w:pPr>
      <w:r>
        <w:rPr>
          <w:b/>
          <w:bCs/>
          <w:color w:val="auto"/>
          <w:highlight w:val="none"/>
        </w:rPr>
        <w:t>引进发展海洋工程装备产业</w:t>
      </w:r>
      <w:r>
        <w:rPr>
          <w:rFonts w:hint="eastAsia"/>
          <w:b/>
          <w:bCs/>
          <w:color w:val="auto"/>
          <w:highlight w:val="none"/>
          <w:lang w:eastAsia="zh-CN"/>
        </w:rPr>
        <w:t>。</w:t>
      </w:r>
      <w:r>
        <w:rPr>
          <w:color w:val="auto"/>
          <w:highlight w:val="none"/>
        </w:rPr>
        <w:t>以湛江国家高新区海东园区为载体，依托湛江湾实验室，推进中船重工海洋装备基地建设和海力德海洋装备项目。</w:t>
      </w:r>
      <w:r>
        <w:rPr>
          <w:rFonts w:hint="eastAsia"/>
          <w:color w:val="auto"/>
          <w:highlight w:val="none"/>
        </w:rPr>
        <w:t>借助</w:t>
      </w:r>
      <w:r>
        <w:rPr>
          <w:color w:val="auto"/>
          <w:highlight w:val="none"/>
        </w:rPr>
        <w:t>宝钢湛江钢铁、中科炼化等大型企业产业链向两端延伸的机遇，积极引进一批面向南海开发的海洋装备制造龙头企业，承接湛江重化工配套产业，布局海洋装备制造产业。积极发挥坡头区海洋区位和港口资源优势，引进一批面向南海开发的海洋装备制造企业，重点培育船用辅机、仪器仪表、自动化装备、大型铸锻件制造等产业，打造船舶造修、海洋工程装备制造一体化产业链。积极发展与船舶制造配套的电子、机械、仪器仪表等产品制造，重点发展船用动力系统及零部件、船用仪器仪表等配套设备制造，进一步提高产业配套能力和服务能力。支持中小企业的专业化和特色化发展，重点培育一批船舶配套零部件生产企业，将其纳入主导企业的专业化协作体系中，加快培育和延伸船舶产业链条。形成以重点企业为龙头，相关企业相配套的聚集发展局面。依托南海舰队驻湛的海防重要地位，引进国内船舶海工企业。推进坡头海上风电项目建设，建设专业化、规模化海上风电出运码头，支持国内外风电科研机构、整机和零部件配套企业组建工程实验室和研发中心。重点培育船用辅机、仪器仪表、自动化装备、大型铸锻件制造等产业，打造船舶造修、海洋工程装备制造一体化产业链。</w:t>
      </w:r>
      <w:r>
        <w:rPr>
          <w:rFonts w:hint="eastAsia"/>
          <w:b/>
          <w:bCs/>
          <w:color w:val="auto"/>
          <w:highlight w:val="none"/>
        </w:rPr>
        <w:t>推进</w:t>
      </w:r>
      <w:r>
        <w:rPr>
          <w:b/>
          <w:bCs/>
          <w:color w:val="auto"/>
          <w:highlight w:val="none"/>
        </w:rPr>
        <w:t>发展现代化船舶修造产业</w:t>
      </w:r>
      <w:r>
        <w:rPr>
          <w:rFonts w:hint="eastAsia"/>
          <w:b/>
          <w:bCs/>
          <w:color w:val="auto"/>
          <w:highlight w:val="none"/>
          <w:lang w:eastAsia="zh-CN"/>
        </w:rPr>
        <w:t>。</w:t>
      </w:r>
      <w:r>
        <w:rPr>
          <w:color w:val="auto"/>
          <w:highlight w:val="none"/>
        </w:rPr>
        <w:t>加快船舶工业结构优化升级，积极引进大型造修船集团，依托南三岛海工修造装备维修基地，合理布局海洋船舶工业，着力培养壮大船舶配套产业和海洋工程装备制造业，打造军民两用现代化的修造船基地。积极发展游艇制造业，</w:t>
      </w:r>
      <w:r>
        <w:rPr>
          <w:rFonts w:hint="eastAsia"/>
          <w:color w:val="auto"/>
          <w:highlight w:val="none"/>
        </w:rPr>
        <w:t>推进元和鑫龙、海荃新能源游艇研发制造基地落地建设，推动高端游艇产业发展。</w:t>
      </w:r>
      <w:r>
        <w:rPr>
          <w:color w:val="auto"/>
          <w:highlight w:val="none"/>
        </w:rPr>
        <w:t>加强远洋运输、远洋渔业等大型钢质船舶维修技术的研发和应用，重点培育麻斜船厂。加快发展现代化玻璃钢渔船船厂，推进拆船工业现代化、机械化和环保化。</w:t>
      </w:r>
    </w:p>
    <w:p>
      <w:pPr>
        <w:bidi w:val="0"/>
        <w:rPr>
          <w:color w:val="auto"/>
          <w:highlight w:val="none"/>
        </w:rPr>
      </w:pPr>
      <w:bookmarkStart w:id="99" w:name="_Toc2330"/>
      <w:bookmarkStart w:id="100" w:name="_Toc7735"/>
      <w:bookmarkStart w:id="101" w:name="_Toc53003167"/>
      <w:bookmarkStart w:id="102" w:name="_Toc1074"/>
      <w:bookmarkStart w:id="103" w:name="_Toc32646"/>
      <w:bookmarkStart w:id="104" w:name="_Toc29857"/>
      <w:bookmarkStart w:id="105" w:name="_Toc25152"/>
      <w:bookmarkStart w:id="106" w:name="_Toc30741"/>
      <w:r>
        <w:rPr>
          <w:b/>
          <w:bCs/>
          <w:color w:val="auto"/>
          <w:highlight w:val="none"/>
        </w:rPr>
        <w:t>大力发展</w:t>
      </w:r>
      <w:r>
        <w:rPr>
          <w:rFonts w:hint="eastAsia"/>
          <w:b/>
          <w:bCs/>
          <w:color w:val="auto"/>
          <w:highlight w:val="none"/>
          <w:lang w:val="en-US" w:eastAsia="zh-CN"/>
        </w:rPr>
        <w:t>海洋</w:t>
      </w:r>
      <w:r>
        <w:rPr>
          <w:b/>
          <w:bCs/>
          <w:color w:val="auto"/>
          <w:highlight w:val="none"/>
        </w:rPr>
        <w:t>能源产业</w:t>
      </w:r>
      <w:bookmarkEnd w:id="99"/>
      <w:bookmarkEnd w:id="100"/>
      <w:r>
        <w:rPr>
          <w:rFonts w:hint="eastAsia"/>
          <w:b/>
          <w:bCs/>
          <w:color w:val="auto"/>
          <w:highlight w:val="none"/>
          <w:lang w:eastAsia="zh-CN"/>
        </w:rPr>
        <w:t>。</w:t>
      </w:r>
      <w:r>
        <w:rPr>
          <w:rFonts w:hint="eastAsia"/>
          <w:color w:val="auto"/>
          <w:highlight w:val="none"/>
        </w:rPr>
        <w:t>推进海洋油气开采产业深入发展。进一步加大对海上稠油、低渗等难动用油气储量开发的支持力度。发展油气加工、新型采油平台等产业。支持开展可燃冰勘探工作，发展天然气水合物勘探技术，逐步开展商业化开采。积极加强国际合作，推动深远海油气合作开发。加强沿海</w:t>
      </w:r>
      <w:r>
        <w:rPr>
          <w:rFonts w:hint="eastAsia" w:ascii="Times New Roman" w:hAnsi="Times New Roman"/>
          <w:color w:val="auto"/>
          <w:highlight w:val="none"/>
          <w:lang w:eastAsia="zh-CN"/>
        </w:rPr>
        <w:t>LNG</w:t>
      </w:r>
      <w:r>
        <w:rPr>
          <w:rFonts w:hint="eastAsia"/>
          <w:color w:val="auto"/>
          <w:highlight w:val="none"/>
        </w:rPr>
        <w:t>接卸能力建设，提高周转调配能力。支持社会资本通过参股等形式，参与海洋油气资源勘探开发。全力服务好中海油湛江分公司，争取“迁南补北”，加大</w:t>
      </w:r>
      <w:r>
        <w:rPr>
          <w:rFonts w:hint="eastAsia"/>
          <w:color w:val="auto"/>
          <w:highlight w:val="none"/>
          <w:lang w:val="en-US" w:eastAsia="zh-CN"/>
        </w:rPr>
        <w:t>其</w:t>
      </w:r>
      <w:r>
        <w:rPr>
          <w:rFonts w:hint="eastAsia"/>
          <w:color w:val="auto"/>
          <w:highlight w:val="none"/>
        </w:rPr>
        <w:t>在坡头的工业投资和技改投资力度。</w:t>
      </w:r>
    </w:p>
    <w:p>
      <w:pPr>
        <w:pStyle w:val="5"/>
        <w:bidi w:val="0"/>
        <w:rPr>
          <w:rFonts w:hint="default" w:eastAsia="楷体"/>
          <w:color w:val="auto"/>
          <w:highlight w:val="none"/>
          <w:lang w:val="en-US" w:eastAsia="zh-CN"/>
        </w:rPr>
      </w:pPr>
      <w:r>
        <w:rPr>
          <w:rFonts w:hint="eastAsia"/>
          <w:color w:val="auto"/>
          <w:highlight w:val="none"/>
          <w:lang w:val="en-US" w:eastAsia="zh-CN"/>
        </w:rPr>
        <w:t>三</w:t>
      </w:r>
      <w:r>
        <w:rPr>
          <w:color w:val="auto"/>
          <w:highlight w:val="none"/>
        </w:rPr>
        <w:t>、</w:t>
      </w:r>
      <w:r>
        <w:rPr>
          <w:rFonts w:hint="eastAsia"/>
          <w:color w:val="auto"/>
          <w:highlight w:val="none"/>
          <w:lang w:val="en-US" w:eastAsia="zh-CN"/>
        </w:rPr>
        <w:t>支持发展电子信息产业</w:t>
      </w:r>
    </w:p>
    <w:p>
      <w:pPr>
        <w:bidi w:val="0"/>
        <w:rPr>
          <w:color w:val="auto"/>
          <w:highlight w:val="none"/>
        </w:rPr>
      </w:pPr>
      <w:r>
        <w:rPr>
          <w:color w:val="auto"/>
          <w:highlight w:val="none"/>
        </w:rPr>
        <w:t>重点发展海洋电子信息、软件开发、科技服务等业态，</w:t>
      </w:r>
      <w:r>
        <w:rPr>
          <w:rFonts w:hint="eastAsia"/>
          <w:color w:val="auto"/>
          <w:highlight w:val="none"/>
        </w:rPr>
        <w:t>加快</w:t>
      </w:r>
      <w:r>
        <w:rPr>
          <w:rFonts w:hint="eastAsia" w:ascii="Times New Roman" w:hAnsi="Times New Roman"/>
          <w:color w:val="auto"/>
          <w:highlight w:val="none"/>
          <w:lang w:eastAsia="zh-CN"/>
        </w:rPr>
        <w:t>5G</w:t>
      </w:r>
      <w:r>
        <w:rPr>
          <w:rFonts w:hint="eastAsia"/>
          <w:color w:val="auto"/>
          <w:highlight w:val="none"/>
        </w:rPr>
        <w:t>、数据中心、智能计算中心、人工智能、工业互联网、物联网等新型基础设施支撑建设，强化以智能制造为核心的工业技术改造，推动</w:t>
      </w:r>
      <w:r>
        <w:rPr>
          <w:rFonts w:hint="eastAsia" w:ascii="Times New Roman" w:hAnsi="Times New Roman"/>
          <w:color w:val="auto"/>
          <w:highlight w:val="none"/>
          <w:lang w:eastAsia="zh-CN"/>
        </w:rPr>
        <w:t>NB</w:t>
      </w:r>
      <w:r>
        <w:rPr>
          <w:rFonts w:hint="eastAsia"/>
          <w:color w:val="auto"/>
          <w:highlight w:val="none"/>
        </w:rPr>
        <w:t>-</w:t>
      </w:r>
      <w:r>
        <w:rPr>
          <w:rFonts w:hint="eastAsia" w:ascii="Times New Roman" w:hAnsi="Times New Roman"/>
          <w:color w:val="auto"/>
          <w:highlight w:val="none"/>
          <w:lang w:eastAsia="zh-CN"/>
        </w:rPr>
        <w:t>IOT</w:t>
      </w:r>
      <w:r>
        <w:rPr>
          <w:rFonts w:hint="eastAsia"/>
          <w:color w:val="auto"/>
          <w:highlight w:val="none"/>
        </w:rPr>
        <w:t>、</w:t>
      </w:r>
      <w:r>
        <w:rPr>
          <w:rFonts w:hint="eastAsia" w:ascii="Times New Roman" w:hAnsi="Times New Roman"/>
          <w:color w:val="auto"/>
          <w:highlight w:val="none"/>
          <w:lang w:eastAsia="zh-CN"/>
        </w:rPr>
        <w:t>LTECAT1</w:t>
      </w:r>
      <w:r>
        <w:rPr>
          <w:rFonts w:hint="eastAsia"/>
          <w:color w:val="auto"/>
          <w:highlight w:val="none"/>
        </w:rPr>
        <w:t>、</w:t>
      </w:r>
      <w:r>
        <w:rPr>
          <w:rFonts w:hint="eastAsia" w:ascii="Times New Roman" w:hAnsi="Times New Roman"/>
          <w:color w:val="auto"/>
          <w:highlight w:val="none"/>
          <w:lang w:eastAsia="zh-CN"/>
        </w:rPr>
        <w:t>5G</w:t>
      </w:r>
      <w:r>
        <w:rPr>
          <w:rFonts w:hint="eastAsia"/>
          <w:color w:val="auto"/>
          <w:highlight w:val="none"/>
        </w:rPr>
        <w:t>等技术在制造业各环节深入应用。</w:t>
      </w:r>
      <w:r>
        <w:rPr>
          <w:rFonts w:hint="eastAsia"/>
          <w:color w:val="auto"/>
          <w:highlight w:val="none"/>
          <w:lang w:val="en-US" w:eastAsia="zh-CN"/>
        </w:rPr>
        <w:t>探索</w:t>
      </w:r>
      <w:r>
        <w:rPr>
          <w:rFonts w:hint="eastAsia"/>
          <w:color w:val="auto"/>
          <w:highlight w:val="none"/>
        </w:rPr>
        <w:t>建设“智能制造”“智能医疗”“智能家居”等人工智能开放创新平台，增强人工智能创新能力。</w:t>
      </w:r>
      <w:r>
        <w:rPr>
          <w:color w:val="auto"/>
          <w:highlight w:val="none"/>
        </w:rPr>
        <w:t>积极引进一批科技信息技术类企业，形成集聚化发展，加大高新技术研发力度，为坡头产业园区的发展持续不断输出动力。</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0" w:firstLineChars="0"/>
              <w:jc w:val="center"/>
              <w:rPr>
                <w:rFonts w:eastAsia="宋体"/>
                <w:color w:val="auto"/>
                <w:sz w:val="24"/>
                <w:szCs w:val="24"/>
                <w:highlight w:val="none"/>
              </w:rPr>
            </w:pPr>
            <w:r>
              <w:rPr>
                <w:rFonts w:eastAsia="宋体"/>
                <w:b/>
                <w:bCs/>
                <w:color w:val="auto"/>
                <w:sz w:val="28"/>
                <w:szCs w:val="28"/>
                <w:highlight w:val="none"/>
              </w:rPr>
              <w:t>专栏</w:t>
            </w:r>
            <w:r>
              <w:rPr>
                <w:rFonts w:hint="eastAsia" w:ascii="Times New Roman" w:hAnsi="Times New Roman" w:eastAsia="宋体"/>
                <w:b/>
                <w:bCs/>
                <w:color w:val="auto"/>
                <w:sz w:val="28"/>
                <w:szCs w:val="28"/>
                <w:highlight w:val="none"/>
                <w:lang w:eastAsia="zh-CN"/>
              </w:rPr>
              <w:t>2</w:t>
            </w:r>
            <w:r>
              <w:rPr>
                <w:rFonts w:eastAsia="宋体"/>
                <w:b/>
                <w:bCs/>
                <w:color w:val="auto"/>
                <w:sz w:val="28"/>
                <w:szCs w:val="28"/>
                <w:highlight w:val="none"/>
              </w:rPr>
              <w:t>：战略性新兴产业发展重点行业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numPr>
                <w:ilvl w:val="0"/>
                <w:numId w:val="0"/>
              </w:numPr>
              <w:rPr>
                <w:rFonts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1.</w:t>
            </w:r>
            <w:r>
              <w:rPr>
                <w:rFonts w:hint="eastAsia" w:eastAsia="宋体"/>
                <w:b/>
                <w:bCs/>
                <w:color w:val="auto"/>
                <w:sz w:val="24"/>
                <w:szCs w:val="24"/>
                <w:highlight w:val="none"/>
                <w:lang w:val="en-US" w:eastAsia="zh-CN"/>
              </w:rPr>
              <w:t xml:space="preserve"> </w:t>
            </w:r>
            <w:r>
              <w:rPr>
                <w:rFonts w:eastAsia="宋体"/>
                <w:b/>
                <w:bCs/>
                <w:color w:val="auto"/>
                <w:sz w:val="24"/>
                <w:szCs w:val="24"/>
                <w:highlight w:val="none"/>
              </w:rPr>
              <w:t>生物医药产业。</w:t>
            </w:r>
            <w:r>
              <w:rPr>
                <w:rFonts w:eastAsia="宋体"/>
                <w:color w:val="auto"/>
                <w:sz w:val="24"/>
                <w:szCs w:val="24"/>
                <w:highlight w:val="none"/>
              </w:rPr>
              <w:t>基因工程、海洋药物、抗体药物、诊断试剂</w:t>
            </w:r>
            <w:r>
              <w:rPr>
                <w:rFonts w:hint="eastAsia" w:eastAsia="宋体"/>
                <w:color w:val="auto"/>
                <w:sz w:val="24"/>
                <w:szCs w:val="24"/>
                <w:highlight w:val="none"/>
                <w:lang w:eastAsia="zh-CN"/>
              </w:rPr>
              <w:t>、</w:t>
            </w:r>
            <w:r>
              <w:rPr>
                <w:rFonts w:eastAsia="宋体"/>
                <w:color w:val="auto"/>
                <w:sz w:val="24"/>
                <w:szCs w:val="24"/>
                <w:highlight w:val="none"/>
              </w:rPr>
              <w:t>检测平台、生物医用材料、医疗设备</w:t>
            </w:r>
            <w:r>
              <w:rPr>
                <w:rFonts w:hint="eastAsia" w:eastAsia="宋体"/>
                <w:color w:val="auto"/>
                <w:sz w:val="24"/>
                <w:szCs w:val="24"/>
                <w:highlight w:val="none"/>
                <w:lang w:eastAsia="zh-CN"/>
              </w:rPr>
              <w:t>、</w:t>
            </w:r>
            <w:r>
              <w:rPr>
                <w:rFonts w:eastAsia="宋体"/>
                <w:color w:val="auto"/>
                <w:sz w:val="24"/>
                <w:szCs w:val="24"/>
                <w:highlight w:val="none"/>
              </w:rPr>
              <w:t>其他生物制品，再生医学技术研究应用。</w:t>
            </w:r>
          </w:p>
          <w:p>
            <w:pPr>
              <w:numPr>
                <w:ilvl w:val="0"/>
                <w:numId w:val="0"/>
              </w:numPr>
              <w:ind w:leftChars="0"/>
              <w:rPr>
                <w:rFonts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2.</w:t>
            </w:r>
            <w:r>
              <w:rPr>
                <w:rFonts w:hint="eastAsia" w:eastAsia="宋体"/>
                <w:b/>
                <w:bCs/>
                <w:color w:val="auto"/>
                <w:sz w:val="24"/>
                <w:szCs w:val="24"/>
                <w:highlight w:val="none"/>
                <w:lang w:val="en-US" w:eastAsia="zh-CN"/>
              </w:rPr>
              <w:t xml:space="preserve"> </w:t>
            </w:r>
            <w:r>
              <w:rPr>
                <w:rFonts w:eastAsia="宋体"/>
                <w:b/>
                <w:bCs/>
                <w:color w:val="auto"/>
                <w:sz w:val="24"/>
                <w:szCs w:val="24"/>
                <w:highlight w:val="none"/>
              </w:rPr>
              <w:t>海洋工程装备产业。</w:t>
            </w:r>
            <w:r>
              <w:rPr>
                <w:rFonts w:eastAsia="宋体"/>
                <w:color w:val="auto"/>
                <w:sz w:val="24"/>
                <w:szCs w:val="24"/>
                <w:highlight w:val="none"/>
              </w:rPr>
              <w:t>各类钻井平台、半潜式生产平台、浮式生产储卸装置、液化天然气浮式生产储卸装置（</w:t>
            </w:r>
            <w:r>
              <w:rPr>
                <w:rFonts w:hint="eastAsia" w:ascii="Times New Roman" w:hAnsi="Times New Roman" w:eastAsia="宋体"/>
                <w:color w:val="auto"/>
                <w:sz w:val="24"/>
                <w:szCs w:val="24"/>
                <w:highlight w:val="none"/>
                <w:lang w:eastAsia="zh-CN"/>
              </w:rPr>
              <w:t>LNG</w:t>
            </w:r>
            <w:r>
              <w:rPr>
                <w:rFonts w:eastAsia="宋体"/>
                <w:color w:val="auto"/>
                <w:sz w:val="24"/>
                <w:szCs w:val="24"/>
                <w:highlight w:val="none"/>
              </w:rPr>
              <w:t>-</w:t>
            </w:r>
            <w:r>
              <w:rPr>
                <w:rFonts w:hint="eastAsia" w:ascii="Times New Roman" w:hAnsi="Times New Roman" w:eastAsia="宋体"/>
                <w:color w:val="auto"/>
                <w:sz w:val="24"/>
                <w:szCs w:val="24"/>
                <w:highlight w:val="none"/>
                <w:lang w:eastAsia="zh-CN"/>
              </w:rPr>
              <w:t>FPSO</w:t>
            </w:r>
            <w:r>
              <w:rPr>
                <w:rFonts w:eastAsia="宋体"/>
                <w:color w:val="auto"/>
                <w:sz w:val="24"/>
                <w:szCs w:val="24"/>
                <w:highlight w:val="none"/>
              </w:rPr>
              <w:t>）、石油勘探开发装备、油气储运和输送装备、炼油装备，先进核电装备、海洋能装备</w:t>
            </w:r>
            <w:r>
              <w:rPr>
                <w:rFonts w:hint="eastAsia" w:eastAsia="宋体"/>
                <w:color w:val="auto"/>
                <w:sz w:val="24"/>
                <w:szCs w:val="24"/>
                <w:highlight w:val="none"/>
                <w:lang w:eastAsia="zh-CN"/>
              </w:rPr>
              <w:t>、</w:t>
            </w:r>
            <w:r>
              <w:rPr>
                <w:rFonts w:eastAsia="宋体"/>
                <w:color w:val="auto"/>
                <w:sz w:val="24"/>
                <w:szCs w:val="24"/>
                <w:highlight w:val="none"/>
              </w:rPr>
              <w:t>天然气水合物开采装备、海洋物探及勘探设备，海洋油气开采设备。</w:t>
            </w:r>
          </w:p>
          <w:p>
            <w:pPr>
              <w:ind w:firstLine="0" w:firstLineChars="0"/>
              <w:rPr>
                <w:rFonts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3.</w:t>
            </w:r>
            <w:r>
              <w:rPr>
                <w:rFonts w:hint="eastAsia" w:eastAsia="宋体"/>
                <w:b/>
                <w:bCs/>
                <w:color w:val="auto"/>
                <w:sz w:val="24"/>
                <w:szCs w:val="24"/>
                <w:highlight w:val="none"/>
                <w:lang w:val="en-US" w:eastAsia="zh-CN"/>
              </w:rPr>
              <w:t xml:space="preserve"> 海洋能源产业</w:t>
            </w:r>
            <w:r>
              <w:rPr>
                <w:rFonts w:eastAsia="宋体"/>
                <w:b/>
                <w:bCs/>
                <w:color w:val="auto"/>
                <w:sz w:val="24"/>
                <w:szCs w:val="24"/>
                <w:highlight w:val="none"/>
              </w:rPr>
              <w:t>。</w:t>
            </w:r>
            <w:r>
              <w:rPr>
                <w:rFonts w:hint="eastAsia" w:eastAsia="宋体"/>
                <w:b w:val="0"/>
                <w:bCs w:val="0"/>
                <w:color w:val="auto"/>
                <w:sz w:val="24"/>
                <w:szCs w:val="24"/>
                <w:highlight w:val="none"/>
              </w:rPr>
              <w:t>海岛供电、海水养殖、海洋仪器供电</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rPr>
              <w:t>波浪能发电</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rPr>
              <w:t>温差能发电</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rPr>
              <w:t>深海漂浮式风电</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rPr>
              <w:t>可燃冰勘察开采</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rPr>
              <w:t>海水浓度差发电</w:t>
            </w:r>
            <w:r>
              <w:rPr>
                <w:rFonts w:hint="eastAsia" w:eastAsia="宋体"/>
                <w:b w:val="0"/>
                <w:bCs w:val="0"/>
                <w:color w:val="auto"/>
                <w:sz w:val="24"/>
                <w:szCs w:val="24"/>
                <w:highlight w:val="none"/>
                <w:lang w:eastAsia="zh-CN"/>
              </w:rPr>
              <w:t>。</w:t>
            </w:r>
          </w:p>
          <w:p>
            <w:pPr>
              <w:ind w:firstLine="0" w:firstLineChars="0"/>
              <w:rPr>
                <w:rFonts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4.</w:t>
            </w:r>
            <w:r>
              <w:rPr>
                <w:rFonts w:hint="eastAsia" w:eastAsia="宋体"/>
                <w:b/>
                <w:bCs/>
                <w:color w:val="auto"/>
                <w:sz w:val="24"/>
                <w:szCs w:val="24"/>
                <w:highlight w:val="none"/>
                <w:lang w:val="en-US" w:eastAsia="zh-CN"/>
              </w:rPr>
              <w:t xml:space="preserve"> 电子信息产业</w:t>
            </w:r>
            <w:r>
              <w:rPr>
                <w:rFonts w:eastAsia="宋体"/>
                <w:b/>
                <w:bCs/>
                <w:color w:val="auto"/>
                <w:sz w:val="24"/>
                <w:szCs w:val="24"/>
                <w:highlight w:val="none"/>
              </w:rPr>
              <w:t>。</w:t>
            </w:r>
            <w:r>
              <w:rPr>
                <w:rFonts w:hint="eastAsia" w:eastAsia="宋体"/>
                <w:b w:val="0"/>
                <w:bCs w:val="0"/>
                <w:color w:val="auto"/>
                <w:sz w:val="24"/>
                <w:szCs w:val="24"/>
                <w:highlight w:val="none"/>
              </w:rPr>
              <w:t>新一代通信设备、新型网络、手机与新型智能终端、高端半导体元器件、物联网传感器、新一代信息技术创新应用等产业</w:t>
            </w:r>
            <w:r>
              <w:rPr>
                <w:rFonts w:eastAsia="宋体"/>
                <w:color w:val="auto"/>
                <w:sz w:val="24"/>
                <w:szCs w:val="24"/>
                <w:highlight w:val="none"/>
              </w:rPr>
              <w:t>。</w:t>
            </w:r>
          </w:p>
        </w:tc>
      </w:tr>
    </w:tbl>
    <w:p>
      <w:pPr>
        <w:pStyle w:val="4"/>
        <w:spacing w:before="62" w:after="62"/>
        <w:ind w:firstLine="0"/>
        <w:jc w:val="center"/>
        <w:rPr>
          <w:rFonts w:hint="default" w:ascii="宋体" w:hAnsi="宋体"/>
          <w:color w:val="auto"/>
          <w:highlight w:val="none"/>
        </w:rPr>
      </w:pPr>
      <w:bookmarkStart w:id="107" w:name="_Toc3526"/>
      <w:r>
        <w:rPr>
          <w:rFonts w:hint="default" w:ascii="宋体" w:hAnsi="宋体"/>
          <w:color w:val="auto"/>
          <w:highlight w:val="none"/>
        </w:rPr>
        <w:t>第二节 促进传统优势产业更新升级</w:t>
      </w:r>
      <w:bookmarkEnd w:id="101"/>
      <w:bookmarkEnd w:id="107"/>
    </w:p>
    <w:p>
      <w:pPr>
        <w:ind w:firstLine="640"/>
        <w:rPr>
          <w:color w:val="auto"/>
          <w:highlight w:val="none"/>
        </w:rPr>
      </w:pPr>
      <w:r>
        <w:rPr>
          <w:color w:val="auto"/>
          <w:highlight w:val="none"/>
        </w:rPr>
        <w:t>以互联网+、人工智能、大数据等高新技术赋能传统制造业，推进小家电、农海产（食）品、饲料业等产业改造升级，</w:t>
      </w:r>
      <w:r>
        <w:rPr>
          <w:rFonts w:hint="eastAsia"/>
          <w:color w:val="auto"/>
          <w:highlight w:val="none"/>
        </w:rPr>
        <w:t>持续开展“质量强区”工作，完善质量基础设施，加强标准、计量、专利等体系和能力建设，深入开展质量提升行动，促进传统劳动密集型企业采用新工艺、新设备</w:t>
      </w:r>
      <w:r>
        <w:rPr>
          <w:color w:val="auto"/>
          <w:highlight w:val="none"/>
        </w:rPr>
        <w:t>，推动产品产业链向</w:t>
      </w:r>
      <w:r>
        <w:rPr>
          <w:rFonts w:hint="eastAsia"/>
          <w:color w:val="auto"/>
          <w:highlight w:val="none"/>
        </w:rPr>
        <w:t>“</w:t>
      </w:r>
      <w:r>
        <w:rPr>
          <w:color w:val="auto"/>
          <w:highlight w:val="none"/>
        </w:rPr>
        <w:t>微笑曲线</w:t>
      </w:r>
      <w:r>
        <w:rPr>
          <w:rFonts w:hint="eastAsia"/>
          <w:color w:val="auto"/>
          <w:highlight w:val="none"/>
        </w:rPr>
        <w:t>”</w:t>
      </w:r>
      <w:r>
        <w:rPr>
          <w:color w:val="auto"/>
          <w:highlight w:val="none"/>
        </w:rPr>
        <w:t>两端延伸。</w:t>
      </w:r>
    </w:p>
    <w:p>
      <w:pPr>
        <w:pStyle w:val="5"/>
        <w:rPr>
          <w:color w:val="auto"/>
          <w:highlight w:val="none"/>
        </w:rPr>
      </w:pPr>
      <w:bookmarkStart w:id="108" w:name="_Toc29136"/>
      <w:bookmarkStart w:id="109" w:name="_Toc5895"/>
      <w:r>
        <w:rPr>
          <w:color w:val="auto"/>
          <w:highlight w:val="none"/>
        </w:rPr>
        <w:t>一、推进家电</w:t>
      </w:r>
      <w:bookmarkEnd w:id="108"/>
      <w:bookmarkEnd w:id="109"/>
      <w:r>
        <w:rPr>
          <w:color w:val="auto"/>
          <w:highlight w:val="none"/>
        </w:rPr>
        <w:t>产业智能化技术改造</w:t>
      </w:r>
    </w:p>
    <w:p>
      <w:pPr>
        <w:ind w:firstLine="640"/>
        <w:rPr>
          <w:color w:val="auto"/>
          <w:highlight w:val="none"/>
        </w:rPr>
      </w:pPr>
      <w:r>
        <w:rPr>
          <w:color w:val="auto"/>
          <w:highlight w:val="none"/>
        </w:rPr>
        <w:t>深入实施《广东省智能制造（</w:t>
      </w:r>
      <w:r>
        <w:rPr>
          <w:rFonts w:hint="eastAsia" w:ascii="Times New Roman" w:hAnsi="Times New Roman"/>
          <w:color w:val="auto"/>
          <w:highlight w:val="none"/>
          <w:lang w:eastAsia="zh-CN"/>
        </w:rPr>
        <w:t>2015</w:t>
      </w:r>
      <w:r>
        <w:rPr>
          <w:color w:val="auto"/>
          <w:highlight w:val="none"/>
        </w:rPr>
        <w:t>-</w:t>
      </w:r>
      <w:r>
        <w:rPr>
          <w:rFonts w:hint="eastAsia" w:ascii="Times New Roman" w:hAnsi="Times New Roman"/>
          <w:color w:val="auto"/>
          <w:highlight w:val="none"/>
          <w:lang w:eastAsia="zh-CN"/>
        </w:rPr>
        <w:t>2025</w:t>
      </w:r>
      <w:r>
        <w:rPr>
          <w:color w:val="auto"/>
          <w:highlight w:val="none"/>
        </w:rPr>
        <w:t>）》，推动</w:t>
      </w:r>
      <w:r>
        <w:rPr>
          <w:rFonts w:hint="eastAsia"/>
          <w:color w:val="auto"/>
          <w:highlight w:val="none"/>
        </w:rPr>
        <w:t>“</w:t>
      </w:r>
      <w:r>
        <w:rPr>
          <w:color w:val="auto"/>
          <w:highlight w:val="none"/>
        </w:rPr>
        <w:t>坡头智造</w:t>
      </w:r>
      <w:r>
        <w:rPr>
          <w:rFonts w:hint="eastAsia"/>
          <w:color w:val="auto"/>
          <w:highlight w:val="none"/>
        </w:rPr>
        <w:t>”</w:t>
      </w:r>
      <w:r>
        <w:rPr>
          <w:color w:val="auto"/>
          <w:highlight w:val="none"/>
        </w:rPr>
        <w:t>，促进优势传统产业生产工艺技术改造。依托坡头科技产业园区内鸿智电器等现有家电龙头企业初具规模和行业标准起草单位的优势条件，发挥好龙头企业的标准引领、产业升级示范作用，鼓励园区现有家电企业进行兼并重组。对电饭煲、电磁炉、电水壶等主导产品进行技术改造和技术创新，提高产品质量和档次，不断提高自主知识产权含量，引进高端家电生产企业和配套企业，提高产业集中度形成小家电产业集群。推广</w:t>
      </w:r>
      <w:r>
        <w:rPr>
          <w:rFonts w:hint="eastAsia"/>
          <w:color w:val="auto"/>
          <w:highlight w:val="none"/>
        </w:rPr>
        <w:t>“</w:t>
      </w:r>
      <w:r>
        <w:rPr>
          <w:color w:val="auto"/>
          <w:highlight w:val="none"/>
        </w:rPr>
        <w:t>机器换人</w:t>
      </w:r>
      <w:r>
        <w:rPr>
          <w:rFonts w:hint="eastAsia"/>
          <w:color w:val="auto"/>
          <w:highlight w:val="none"/>
        </w:rPr>
        <w:t>”</w:t>
      </w:r>
      <w:r>
        <w:rPr>
          <w:color w:val="auto"/>
          <w:highlight w:val="none"/>
        </w:rPr>
        <w:t>，提升智能化水平。引导龙头企业与区内外科研院所及高校开展产学研联合攻关，着力突破产业链共性关键技术，引进新工艺新技术，调整传统技术和生产管理模式，进一步做大做强做优，推进传统产品现代化生产。</w:t>
      </w:r>
    </w:p>
    <w:p>
      <w:pPr>
        <w:pStyle w:val="5"/>
        <w:rPr>
          <w:color w:val="auto"/>
          <w:highlight w:val="none"/>
        </w:rPr>
      </w:pPr>
      <w:r>
        <w:rPr>
          <w:color w:val="auto"/>
          <w:highlight w:val="none"/>
        </w:rPr>
        <w:t>二、促进农海产</w:t>
      </w:r>
      <w:r>
        <w:rPr>
          <w:rFonts w:hint="eastAsia"/>
          <w:color w:val="auto"/>
          <w:highlight w:val="none"/>
          <w:lang w:val="en-US" w:eastAsia="zh-CN"/>
        </w:rPr>
        <w:t>业</w:t>
      </w:r>
      <w:r>
        <w:rPr>
          <w:color w:val="auto"/>
          <w:highlight w:val="none"/>
        </w:rPr>
        <w:t>优化升级</w:t>
      </w:r>
    </w:p>
    <w:p>
      <w:pPr>
        <w:ind w:firstLine="640"/>
        <w:rPr>
          <w:color w:val="auto"/>
          <w:highlight w:val="none"/>
        </w:rPr>
      </w:pPr>
      <w:r>
        <w:rPr>
          <w:color w:val="auto"/>
          <w:highlight w:val="none"/>
        </w:rPr>
        <w:t>做强做优农海产（食）品加工产业，着力打造以龙头企业为核心、重点企业为骨干、一般企业为基础的农海产（食）品加工产业集群。</w:t>
      </w:r>
      <w:r>
        <w:rPr>
          <w:rFonts w:hint="eastAsia"/>
          <w:color w:val="auto"/>
          <w:highlight w:val="none"/>
        </w:rPr>
        <w:t>推进湛江湾渔港、粤水渔业远洋渔业基地项目建设</w:t>
      </w:r>
      <w:r>
        <w:rPr>
          <w:rFonts w:hint="eastAsia"/>
          <w:color w:val="auto"/>
          <w:highlight w:val="none"/>
          <w:lang w:eastAsia="zh-CN"/>
        </w:rPr>
        <w:t>，</w:t>
      </w:r>
      <w:r>
        <w:rPr>
          <w:color w:val="auto"/>
          <w:highlight w:val="none"/>
        </w:rPr>
        <w:t>推动对</w:t>
      </w:r>
      <w:r>
        <w:rPr>
          <w:rFonts w:hint="eastAsia"/>
          <w:color w:val="auto"/>
          <w:highlight w:val="none"/>
          <w:lang w:val="en-US" w:eastAsia="zh-CN"/>
        </w:rPr>
        <w:t>农海</w:t>
      </w:r>
      <w:r>
        <w:rPr>
          <w:color w:val="auto"/>
          <w:highlight w:val="none"/>
        </w:rPr>
        <w:t>食品加工生产线的关键环节进行自动化、数字化、智能化改造，完善食品相配套的检测中心、研发中心等。推动传统食品生产向营养平衡食品、半成品食品、调理食品和方便卫生有特色的袋装、罐装方便食品、休闲食品、生物制品以及绿色保健食品生产转变，推进海产品向旅游食品领域发展，拉长加宽产业链条。发展农海产品精深加工业，提高经济附加值，进一步延伸产业链，配套食品冷链物流配送，推广</w:t>
      </w:r>
      <w:r>
        <w:rPr>
          <w:rFonts w:hint="eastAsia"/>
          <w:color w:val="auto"/>
          <w:highlight w:val="none"/>
        </w:rPr>
        <w:t>“</w:t>
      </w:r>
      <w:r>
        <w:rPr>
          <w:color w:val="auto"/>
          <w:highlight w:val="none"/>
        </w:rPr>
        <w:t>水产品加工企业+交易市场+电子商务+物流基地</w:t>
      </w:r>
      <w:r>
        <w:rPr>
          <w:rFonts w:hint="eastAsia"/>
          <w:color w:val="auto"/>
          <w:highlight w:val="none"/>
        </w:rPr>
        <w:t>”</w:t>
      </w:r>
      <w:r>
        <w:rPr>
          <w:color w:val="auto"/>
          <w:highlight w:val="none"/>
        </w:rPr>
        <w:t>的集约化发展模式，引导关联企业聚集发展，发挥协同效应。加快实施商标品牌发展战略，培育一批具有地方特色的农海产品注册地理标志证明商标，鼓励和支持企业积极开展产品认证，提升食品产业整体竞争力。力争到</w:t>
      </w:r>
      <w:r>
        <w:rPr>
          <w:rFonts w:hint="eastAsia" w:ascii="Times New Roman" w:hAnsi="Times New Roman"/>
          <w:color w:val="auto"/>
          <w:highlight w:val="none"/>
          <w:lang w:eastAsia="zh-CN"/>
        </w:rPr>
        <w:t>2025</w:t>
      </w:r>
      <w:r>
        <w:rPr>
          <w:color w:val="auto"/>
          <w:highlight w:val="none"/>
        </w:rPr>
        <w:t>年，形成产业集中度高、持续创新能力强、整体竞争优势突出的产业集群。</w:t>
      </w:r>
    </w:p>
    <w:p>
      <w:pPr>
        <w:pStyle w:val="5"/>
        <w:rPr>
          <w:color w:val="auto"/>
          <w:highlight w:val="none"/>
        </w:rPr>
      </w:pPr>
      <w:r>
        <w:rPr>
          <w:color w:val="auto"/>
          <w:highlight w:val="none"/>
        </w:rPr>
        <w:t>三、实施传统工业产值倍增行动</w:t>
      </w:r>
    </w:p>
    <w:p>
      <w:pPr>
        <w:ind w:firstLine="640"/>
        <w:rPr>
          <w:color w:val="auto"/>
          <w:highlight w:val="none"/>
        </w:rPr>
      </w:pPr>
      <w:r>
        <w:rPr>
          <w:color w:val="auto"/>
          <w:highlight w:val="none"/>
        </w:rPr>
        <w:t>实施传统工业产值倍增行动。加快全区产业升级步伐，在工业产值倍增中全面提升产业竞争力。把主导产业、龙头企业、特色产品作为实施工业倍增的重要目标，整合资源，扶优汰劣，推进集约节约和循环发展，瞄准高端产业和产业高端，推进产业、企业、产品从低技术水平转向高技术水平、从低附加值转向高附加值、从低增长状态转向高增长状态。加快调整产业结构，优化提升主导产业，夯实现有产业基础。挖掘培育新兴产业，提高产业竞争实力，实现产业优化升级。充分发挥企业主体作用，增强企业品牌意识，</w:t>
      </w:r>
      <w:r>
        <w:rPr>
          <w:rFonts w:hint="eastAsia"/>
          <w:color w:val="auto"/>
          <w:highlight w:val="none"/>
        </w:rPr>
        <w:t>指导企业制定争创质量、商标和品牌示范企业发展规划</w:t>
      </w:r>
      <w:r>
        <w:rPr>
          <w:color w:val="auto"/>
          <w:highlight w:val="none"/>
        </w:rPr>
        <w:t>，全面夯实企业品牌建设基础。发挥坡头特色农海产品的资源优势，以现有的酒、果汁饮料、月饼、饼干、藕粉等特色产品为基础，加快建设坡头区食品产业发展平台，引导企业积极争创</w:t>
      </w:r>
      <w:r>
        <w:rPr>
          <w:rFonts w:hint="eastAsia"/>
          <w:color w:val="auto"/>
          <w:highlight w:val="none"/>
        </w:rPr>
        <w:t>高质量商标品牌</w:t>
      </w:r>
      <w:r>
        <w:rPr>
          <w:color w:val="auto"/>
          <w:highlight w:val="none"/>
        </w:rPr>
        <w:t>，开发一批高档次、高质量、高附加值的名、优、新、特产品，打造一批具有自主知识产权和较强市场竞争力的知名产品。</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ind w:firstLine="0" w:firstLineChars="0"/>
              <w:jc w:val="center"/>
              <w:textAlignment w:val="baseline"/>
              <w:rPr>
                <w:bCs/>
                <w:color w:val="auto"/>
                <w:kern w:val="0"/>
                <w:szCs w:val="32"/>
                <w:highlight w:val="none"/>
              </w:rPr>
            </w:pPr>
            <w:r>
              <w:rPr>
                <w:rFonts w:eastAsia="宋体"/>
                <w:b/>
                <w:bCs/>
                <w:color w:val="auto"/>
                <w:kern w:val="0"/>
                <w:sz w:val="28"/>
                <w:szCs w:val="28"/>
                <w:highlight w:val="none"/>
                <w:lang w:bidi="zh-CN"/>
              </w:rPr>
              <w:t>专栏</w:t>
            </w:r>
            <w:r>
              <w:rPr>
                <w:rFonts w:hint="eastAsia" w:ascii="Times New Roman" w:hAnsi="Times New Roman" w:eastAsia="宋体"/>
                <w:b/>
                <w:bCs/>
                <w:color w:val="auto"/>
                <w:kern w:val="0"/>
                <w:sz w:val="28"/>
                <w:szCs w:val="28"/>
                <w:highlight w:val="none"/>
                <w:lang w:val="en-US" w:bidi="zh-CN"/>
              </w:rPr>
              <w:t>3</w:t>
            </w:r>
            <w:r>
              <w:rPr>
                <w:rFonts w:eastAsia="宋体"/>
                <w:b/>
                <w:bCs/>
                <w:color w:val="auto"/>
                <w:kern w:val="0"/>
                <w:sz w:val="28"/>
                <w:szCs w:val="28"/>
                <w:highlight w:val="none"/>
                <w:lang w:bidi="zh-CN"/>
              </w:rPr>
              <w:t>：传统优势产业倍增行动计划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numPr>
                <w:ilvl w:val="0"/>
                <w:numId w:val="2"/>
              </w:numPr>
              <w:ind w:firstLine="0" w:firstLineChars="0"/>
              <w:textAlignment w:val="baseline"/>
              <w:rPr>
                <w:rFonts w:eastAsia="宋体"/>
                <w:b/>
                <w:bCs/>
                <w:color w:val="auto"/>
                <w:kern w:val="0"/>
                <w:sz w:val="24"/>
                <w:szCs w:val="24"/>
                <w:highlight w:val="none"/>
              </w:rPr>
            </w:pPr>
            <w:r>
              <w:rPr>
                <w:rFonts w:eastAsia="宋体"/>
                <w:b/>
                <w:bCs/>
                <w:color w:val="auto"/>
                <w:kern w:val="0"/>
                <w:sz w:val="24"/>
                <w:szCs w:val="24"/>
                <w:highlight w:val="none"/>
              </w:rPr>
              <w:t>农副食品加工企业——产业深加工精深加工行动计划</w:t>
            </w:r>
            <w:r>
              <w:rPr>
                <w:rFonts w:hint="eastAsia" w:eastAsia="宋体"/>
                <w:b/>
                <w:bCs/>
                <w:color w:val="auto"/>
                <w:kern w:val="0"/>
                <w:sz w:val="24"/>
                <w:szCs w:val="24"/>
                <w:highlight w:val="none"/>
                <w:lang w:eastAsia="zh-CN"/>
              </w:rPr>
              <w:t>。</w:t>
            </w:r>
          </w:p>
          <w:p>
            <w:pPr>
              <w:ind w:firstLine="0" w:firstLineChars="0"/>
              <w:textAlignment w:val="baseline"/>
              <w:rPr>
                <w:rFonts w:eastAsia="宋体"/>
                <w:b/>
                <w:bCs/>
                <w:color w:val="auto"/>
                <w:sz w:val="24"/>
                <w:szCs w:val="24"/>
                <w:highlight w:val="none"/>
                <w:lang w:bidi="zh-CN"/>
              </w:rPr>
            </w:pPr>
            <w:r>
              <w:rPr>
                <w:rFonts w:hint="eastAsia" w:eastAsia="宋体"/>
                <w:color w:val="auto"/>
                <w:sz w:val="24"/>
                <w:szCs w:val="24"/>
                <w:highlight w:val="none"/>
              </w:rPr>
              <w:t>发展对虾、罗非鱼、文蛤、等传统优势水产品精深加工，推进水产加工企业向规模化和集约化发展。</w:t>
            </w:r>
          </w:p>
          <w:p>
            <w:pPr>
              <w:numPr>
                <w:ilvl w:val="0"/>
                <w:numId w:val="3"/>
              </w:numPr>
              <w:ind w:firstLine="0" w:firstLineChars="0"/>
              <w:textAlignment w:val="baseline"/>
              <w:rPr>
                <w:rFonts w:eastAsia="宋体"/>
                <w:b/>
                <w:bCs/>
                <w:color w:val="auto"/>
                <w:sz w:val="24"/>
                <w:szCs w:val="24"/>
                <w:highlight w:val="none"/>
                <w:lang w:bidi="zh-CN"/>
              </w:rPr>
            </w:pPr>
            <w:r>
              <w:rPr>
                <w:rFonts w:hint="eastAsia" w:eastAsia="宋体"/>
                <w:b/>
                <w:bCs/>
                <w:color w:val="auto"/>
                <w:kern w:val="0"/>
                <w:sz w:val="24"/>
                <w:szCs w:val="24"/>
                <w:highlight w:val="none"/>
                <w:lang w:val="en-US" w:eastAsia="zh-CN"/>
              </w:rPr>
              <w:t>小</w:t>
            </w:r>
            <w:r>
              <w:rPr>
                <w:rFonts w:eastAsia="宋体"/>
                <w:b/>
                <w:bCs/>
                <w:color w:val="auto"/>
                <w:kern w:val="0"/>
                <w:sz w:val="24"/>
                <w:szCs w:val="24"/>
                <w:highlight w:val="none"/>
              </w:rPr>
              <w:t>家电企业</w:t>
            </w:r>
            <w:r>
              <w:rPr>
                <w:rFonts w:eastAsia="宋体"/>
                <w:b/>
                <w:bCs/>
                <w:color w:val="auto"/>
                <w:sz w:val="24"/>
                <w:szCs w:val="24"/>
                <w:highlight w:val="none"/>
                <w:lang w:bidi="zh-CN"/>
              </w:rPr>
              <w:t>——</w:t>
            </w:r>
            <w:r>
              <w:rPr>
                <w:rFonts w:eastAsia="宋体"/>
                <w:b/>
                <w:bCs/>
                <w:color w:val="auto"/>
                <w:kern w:val="0"/>
                <w:sz w:val="24"/>
                <w:szCs w:val="24"/>
                <w:highlight w:val="none"/>
              </w:rPr>
              <w:t>智能化数字化网络化行动计划</w:t>
            </w:r>
            <w:r>
              <w:rPr>
                <w:rFonts w:hint="eastAsia" w:eastAsia="宋体"/>
                <w:b/>
                <w:bCs/>
                <w:color w:val="auto"/>
                <w:kern w:val="0"/>
                <w:sz w:val="24"/>
                <w:szCs w:val="24"/>
                <w:highlight w:val="none"/>
                <w:lang w:eastAsia="zh-CN"/>
              </w:rPr>
              <w:t>。</w:t>
            </w:r>
          </w:p>
          <w:p>
            <w:pPr>
              <w:ind w:firstLine="0" w:firstLineChars="0"/>
              <w:rPr>
                <w:rFonts w:hint="eastAsia" w:eastAsia="宋体"/>
                <w:color w:val="auto"/>
                <w:sz w:val="24"/>
                <w:szCs w:val="24"/>
                <w:highlight w:val="none"/>
              </w:rPr>
            </w:pPr>
            <w:r>
              <w:rPr>
                <w:rFonts w:hint="eastAsia" w:eastAsia="宋体"/>
                <w:color w:val="auto"/>
                <w:sz w:val="24"/>
                <w:szCs w:val="24"/>
                <w:highlight w:val="none"/>
              </w:rPr>
              <w:t>加快发展智能电饭煲、智能慢炖锅、智能咖啡机等智能化厨电产品，积极开展小家电芯片、传感器等核心器件研制，探索温湿度传感模块、声控传感模块等新型传感器与家电使用场景的结合嵌入。</w:t>
            </w:r>
          </w:p>
          <w:p>
            <w:pPr>
              <w:widowControl/>
              <w:numPr>
                <w:ilvl w:val="0"/>
                <w:numId w:val="4"/>
              </w:numPr>
              <w:ind w:firstLine="0" w:firstLineChars="0"/>
              <w:textAlignment w:val="baseline"/>
              <w:rPr>
                <w:rFonts w:eastAsia="宋体"/>
                <w:b/>
                <w:bCs/>
                <w:color w:val="auto"/>
                <w:kern w:val="0"/>
                <w:sz w:val="24"/>
                <w:szCs w:val="24"/>
                <w:highlight w:val="none"/>
              </w:rPr>
            </w:pPr>
            <w:r>
              <w:rPr>
                <w:rFonts w:hint="eastAsia" w:eastAsia="宋体"/>
                <w:b/>
                <w:bCs/>
                <w:color w:val="auto"/>
                <w:kern w:val="0"/>
                <w:sz w:val="24"/>
                <w:szCs w:val="24"/>
                <w:highlight w:val="none"/>
                <w:lang w:val="en-US" w:eastAsia="zh-CN"/>
              </w:rPr>
              <w:t>饲料</w:t>
            </w:r>
            <w:r>
              <w:rPr>
                <w:rFonts w:eastAsia="宋体"/>
                <w:b/>
                <w:bCs/>
                <w:color w:val="auto"/>
                <w:kern w:val="0"/>
                <w:sz w:val="24"/>
                <w:szCs w:val="24"/>
                <w:highlight w:val="none"/>
              </w:rPr>
              <w:t>企业——</w:t>
            </w:r>
            <w:r>
              <w:rPr>
                <w:rFonts w:hint="eastAsia" w:eastAsia="宋体"/>
                <w:b/>
                <w:bCs/>
                <w:color w:val="auto"/>
                <w:sz w:val="24"/>
                <w:szCs w:val="24"/>
                <w:highlight w:val="none"/>
                <w:lang w:val="en-US" w:bidi="zh-CN"/>
              </w:rPr>
              <w:t>多元化全产业链发展</w:t>
            </w:r>
            <w:r>
              <w:rPr>
                <w:rFonts w:eastAsia="宋体"/>
                <w:b/>
                <w:bCs/>
                <w:color w:val="auto"/>
                <w:sz w:val="24"/>
                <w:szCs w:val="24"/>
                <w:highlight w:val="none"/>
                <w:lang w:bidi="zh-CN"/>
              </w:rPr>
              <w:t>行动计划</w:t>
            </w:r>
            <w:r>
              <w:rPr>
                <w:rFonts w:hint="eastAsia" w:eastAsia="宋体"/>
                <w:b/>
                <w:bCs/>
                <w:color w:val="auto"/>
                <w:sz w:val="24"/>
                <w:szCs w:val="24"/>
                <w:highlight w:val="none"/>
                <w:lang w:bidi="zh-CN"/>
              </w:rPr>
              <w:t>。</w:t>
            </w:r>
          </w:p>
          <w:p>
            <w:pPr>
              <w:widowControl/>
              <w:ind w:firstLine="0" w:firstLineChars="0"/>
              <w:textAlignment w:val="baseline"/>
              <w:rPr>
                <w:rFonts w:eastAsia="宋体"/>
                <w:color w:val="auto"/>
                <w:sz w:val="24"/>
                <w:szCs w:val="24"/>
                <w:highlight w:val="none"/>
                <w:lang w:bidi="zh-CN"/>
              </w:rPr>
            </w:pPr>
            <w:r>
              <w:rPr>
                <w:rFonts w:hint="eastAsia" w:eastAsia="宋体"/>
                <w:color w:val="auto"/>
                <w:sz w:val="24"/>
                <w:szCs w:val="24"/>
                <w:highlight w:val="none"/>
              </w:rPr>
              <w:t>鼓励饲料企业在原料采购、生产加工、质量控制、产品销售、服务客户等方面与互联网深度融合，挖掘利用物联网、大数据、云计算等技术潜力，促进资源节约、需求聚集、效率提升、渠道拓展、服务转型。向饲料原料生产、畜牧水产养殖、畜禽屠宰、食品加工等领域延伸发展</w:t>
            </w:r>
            <w:r>
              <w:rPr>
                <w:rFonts w:hint="eastAsia" w:ascii="宋体" w:hAnsi="宋体" w:eastAsia="宋体" w:cs="宋体"/>
                <w:color w:val="auto"/>
                <w:sz w:val="24"/>
                <w:szCs w:val="16"/>
                <w:highlight w:val="none"/>
                <w:lang w:eastAsia="zh-CN"/>
              </w:rPr>
              <w:t>。</w:t>
            </w:r>
          </w:p>
        </w:tc>
      </w:tr>
    </w:tbl>
    <w:p>
      <w:pPr>
        <w:pStyle w:val="4"/>
        <w:spacing w:before="62" w:after="62"/>
        <w:ind w:firstLine="0"/>
        <w:jc w:val="center"/>
        <w:rPr>
          <w:rFonts w:hint="default" w:ascii="宋体" w:hAnsi="宋体"/>
          <w:color w:val="auto"/>
          <w:highlight w:val="none"/>
        </w:rPr>
      </w:pPr>
      <w:bookmarkStart w:id="110" w:name="_Toc9078"/>
      <w:bookmarkStart w:id="111" w:name="_Toc53003168"/>
      <w:r>
        <w:rPr>
          <w:rFonts w:hint="default" w:ascii="宋体" w:hAnsi="宋体"/>
          <w:color w:val="auto"/>
          <w:highlight w:val="none"/>
        </w:rPr>
        <w:t>第三节 加快发展现代服务业</w:t>
      </w:r>
      <w:bookmarkEnd w:id="102"/>
      <w:bookmarkEnd w:id="103"/>
      <w:bookmarkEnd w:id="104"/>
      <w:bookmarkEnd w:id="105"/>
      <w:bookmarkEnd w:id="106"/>
      <w:bookmarkEnd w:id="110"/>
      <w:bookmarkEnd w:id="111"/>
    </w:p>
    <w:p>
      <w:pPr>
        <w:ind w:firstLine="640"/>
        <w:rPr>
          <w:color w:val="auto"/>
          <w:highlight w:val="none"/>
        </w:rPr>
      </w:pPr>
      <w:r>
        <w:rPr>
          <w:color w:val="auto"/>
          <w:highlight w:val="none"/>
        </w:rPr>
        <w:t>利用坡头城区和海东新区辐射力，在官渡湾、龙王湾、麻斜海两岸推进总部经济、商贸物流、文化创业、康体休闲等产业发展，推动现代服务业逐步向创新型、高端化、集聚化方向发展。力争在</w:t>
      </w:r>
      <w:r>
        <w:rPr>
          <w:rFonts w:hint="eastAsia"/>
          <w:color w:val="auto"/>
          <w:highlight w:val="none"/>
          <w:lang w:eastAsia="zh-CN"/>
        </w:rPr>
        <w:t>“十四五”</w:t>
      </w:r>
      <w:r>
        <w:rPr>
          <w:color w:val="auto"/>
          <w:highlight w:val="none"/>
        </w:rPr>
        <w:t>期间坡头现代服务业呈现创新发展、高端发展、开放发展、聚集发展的局面，让现代服务业将成为坡头经济社会高质量发展的新引擎。</w:t>
      </w:r>
    </w:p>
    <w:p>
      <w:pPr>
        <w:pStyle w:val="5"/>
        <w:rPr>
          <w:color w:val="auto"/>
          <w:highlight w:val="none"/>
        </w:rPr>
      </w:pPr>
      <w:bookmarkStart w:id="112" w:name="_Toc6924"/>
      <w:bookmarkStart w:id="113" w:name="_Toc16954"/>
      <w:bookmarkStart w:id="114" w:name="_Toc32064"/>
      <w:bookmarkStart w:id="115" w:name="_Toc22823"/>
      <w:r>
        <w:rPr>
          <w:color w:val="auto"/>
          <w:highlight w:val="none"/>
        </w:rPr>
        <w:t>一、加快发展</w:t>
      </w:r>
      <w:bookmarkEnd w:id="112"/>
      <w:bookmarkEnd w:id="113"/>
      <w:r>
        <w:rPr>
          <w:color w:val="auto"/>
          <w:highlight w:val="none"/>
        </w:rPr>
        <w:t>会展商贸业</w:t>
      </w:r>
    </w:p>
    <w:p>
      <w:pPr>
        <w:ind w:firstLine="640"/>
        <w:rPr>
          <w:color w:val="auto"/>
          <w:highlight w:val="none"/>
        </w:rPr>
      </w:pPr>
      <w:r>
        <w:rPr>
          <w:color w:val="auto"/>
          <w:highlight w:val="none"/>
        </w:rPr>
        <w:t>依托奥体中心</w:t>
      </w:r>
      <w:r>
        <w:rPr>
          <w:rFonts w:hint="eastAsia"/>
          <w:color w:val="auto"/>
          <w:highlight w:val="none"/>
        </w:rPr>
        <w:t>、会展中心</w:t>
      </w:r>
      <w:r>
        <w:rPr>
          <w:color w:val="auto"/>
          <w:highlight w:val="none"/>
        </w:rPr>
        <w:t>综合场馆设施及海东新区的商贸物流、文化创意、康体休闲等产业集聚发展，形成现代服务业片区，建成规范有序、辐射力强的现代化大型商务中心、会展中心和要素交易中心。聚集发展各类商务服务业，引进知名中介机构，打造总部经济基地，依托</w:t>
      </w:r>
      <w:r>
        <w:rPr>
          <w:rFonts w:hint="eastAsia"/>
          <w:color w:val="auto"/>
          <w:highlight w:val="none"/>
        </w:rPr>
        <w:t>水</w:t>
      </w:r>
      <w:r>
        <w:rPr>
          <w:color w:val="auto"/>
          <w:highlight w:val="none"/>
        </w:rPr>
        <w:t>博会等平台，优化整合湛江市会展资源，加快推进国际性商务会展功能区建设，统筹规划建设文化、商贸、娱乐设施，完善配套服务功能，提升举办大型展会能力。积极引进国内外知名会展公司落户海东新区，逐步形成种类齐全、分布广泛、功能完善的现代会展商务服务体系。加快建设一批大型超市和购物中心，</w:t>
      </w:r>
      <w:r>
        <w:rPr>
          <w:rFonts w:hint="eastAsia"/>
          <w:color w:val="auto"/>
          <w:highlight w:val="none"/>
        </w:rPr>
        <w:t>推进华发新城综合体建设，</w:t>
      </w:r>
      <w:r>
        <w:rPr>
          <w:color w:val="auto"/>
          <w:highlight w:val="none"/>
        </w:rPr>
        <w:t>培育发展商业性城市综合体，引导集购物、娱乐、餐饮、酒店、文化等功能于一体的大型城市综合体发展。大力推进连锁经营、特许经营等现代流通方式发展，形成若干具有地方特色的商业中心和品牌商品购物城。大力引进国内外知名品牌展会，重点办好中国国际水产博览会、湛江</w:t>
      </w:r>
      <w:r>
        <w:rPr>
          <w:b/>
          <w:bCs/>
          <w:color w:val="auto"/>
          <w:highlight w:val="none"/>
        </w:rPr>
        <w:t>·</w:t>
      </w:r>
      <w:r>
        <w:rPr>
          <w:color w:val="auto"/>
          <w:highlight w:val="none"/>
        </w:rPr>
        <w:t>东盟农业博览会</w:t>
      </w:r>
      <w:r>
        <w:rPr>
          <w:rFonts w:hint="eastAsia"/>
          <w:color w:val="auto"/>
          <w:highlight w:val="none"/>
          <w:lang w:val="en-US" w:eastAsia="zh-CN"/>
        </w:rPr>
        <w:t>及</w:t>
      </w:r>
      <w:r>
        <w:rPr>
          <w:rFonts w:hint="eastAsia"/>
          <w:color w:val="auto"/>
          <w:highlight w:val="none"/>
        </w:rPr>
        <w:t>中国海洋装备博览会，打造展销国内外先进海洋装备的高端平台。</w:t>
      </w:r>
      <w:r>
        <w:rPr>
          <w:color w:val="auto"/>
          <w:highlight w:val="none"/>
        </w:rPr>
        <w:t>支持举办以坡头特色水海产品为主题的品牌展销会，积极培育自创品牌专业展会，着力开发网络会展平台，打造</w:t>
      </w:r>
      <w:r>
        <w:rPr>
          <w:rFonts w:hint="eastAsia"/>
          <w:color w:val="auto"/>
          <w:highlight w:val="none"/>
        </w:rPr>
        <w:t>湛江名优产品永久展销中心</w:t>
      </w:r>
      <w:r>
        <w:rPr>
          <w:color w:val="auto"/>
          <w:highlight w:val="none"/>
        </w:rPr>
        <w:t>，实现会展国际化、专业化、品牌化和信息化。</w:t>
      </w:r>
    </w:p>
    <w:bookmarkEnd w:id="114"/>
    <w:bookmarkEnd w:id="115"/>
    <w:p>
      <w:pPr>
        <w:pStyle w:val="5"/>
        <w:rPr>
          <w:rFonts w:hint="default" w:eastAsia="楷体"/>
          <w:color w:val="auto"/>
          <w:highlight w:val="none"/>
          <w:lang w:val="en-US" w:eastAsia="zh-CN"/>
        </w:rPr>
      </w:pPr>
      <w:bookmarkStart w:id="116" w:name="_Toc6323"/>
      <w:bookmarkStart w:id="117" w:name="_Toc3962"/>
      <w:r>
        <w:rPr>
          <w:color w:val="auto"/>
          <w:highlight w:val="none"/>
        </w:rPr>
        <w:t>二、</w:t>
      </w:r>
      <w:bookmarkEnd w:id="116"/>
      <w:bookmarkEnd w:id="117"/>
      <w:r>
        <w:rPr>
          <w:rFonts w:hint="eastAsia"/>
          <w:color w:val="auto"/>
          <w:highlight w:val="none"/>
          <w:lang w:val="en-US" w:eastAsia="zh-CN"/>
        </w:rPr>
        <w:t>鼓励发展总部经济</w:t>
      </w:r>
    </w:p>
    <w:p>
      <w:pPr>
        <w:ind w:firstLine="640"/>
        <w:rPr>
          <w:color w:val="auto"/>
          <w:highlight w:val="none"/>
        </w:rPr>
      </w:pPr>
      <w:r>
        <w:rPr>
          <w:rFonts w:hint="eastAsia"/>
          <w:color w:val="auto"/>
          <w:highlight w:val="none"/>
        </w:rPr>
        <w:t>立足</w:t>
      </w:r>
      <w:r>
        <w:rPr>
          <w:rFonts w:hint="eastAsia"/>
          <w:color w:val="auto"/>
          <w:highlight w:val="none"/>
          <w:lang w:val="en-US" w:eastAsia="zh-CN"/>
        </w:rPr>
        <w:t>坡头</w:t>
      </w:r>
      <w:r>
        <w:rPr>
          <w:rFonts w:hint="eastAsia"/>
          <w:color w:val="auto"/>
          <w:highlight w:val="none"/>
        </w:rPr>
        <w:t>区位和产业发展优势，吸引国内外大企业和央企总部入驻，吸引生产基地在</w:t>
      </w:r>
      <w:r>
        <w:rPr>
          <w:rFonts w:hint="eastAsia"/>
          <w:color w:val="auto"/>
          <w:highlight w:val="none"/>
          <w:lang w:val="en-US" w:eastAsia="zh-CN"/>
        </w:rPr>
        <w:t>湛江</w:t>
      </w:r>
      <w:r>
        <w:rPr>
          <w:rFonts w:hint="eastAsia"/>
          <w:color w:val="auto"/>
          <w:highlight w:val="none"/>
        </w:rPr>
        <w:t>的优质企业将总部迁入</w:t>
      </w:r>
      <w:r>
        <w:rPr>
          <w:rFonts w:hint="eastAsia"/>
          <w:color w:val="auto"/>
          <w:highlight w:val="none"/>
          <w:lang w:val="en-US" w:eastAsia="zh-CN"/>
        </w:rPr>
        <w:t>坡头，</w:t>
      </w:r>
      <w:r>
        <w:rPr>
          <w:rFonts w:hint="eastAsia"/>
          <w:color w:val="auto"/>
          <w:highlight w:val="none"/>
        </w:rPr>
        <w:t>打造湛江总部经济中心</w:t>
      </w:r>
      <w:r>
        <w:rPr>
          <w:rFonts w:hint="eastAsia"/>
          <w:color w:val="auto"/>
          <w:highlight w:val="none"/>
          <w:lang w:eastAsia="zh-CN"/>
        </w:rPr>
        <w:t>。</w:t>
      </w:r>
      <w:r>
        <w:rPr>
          <w:rFonts w:hint="eastAsia"/>
          <w:color w:val="auto"/>
          <w:highlight w:val="none"/>
        </w:rPr>
        <w:t>建设海东商会大厦，吸引湛江一建等企业回归坡头。扶持骨干企业做大做强，培育粤海、欢乐家、聚鑫新能源等龙头企业挂牌上市。</w:t>
      </w:r>
      <w:r>
        <w:rPr>
          <w:rFonts w:hint="eastAsia"/>
          <w:color w:val="auto"/>
          <w:highlight w:val="none"/>
          <w:lang w:val="en-US" w:eastAsia="zh-CN"/>
        </w:rPr>
        <w:t>借助</w:t>
      </w:r>
      <w:r>
        <w:rPr>
          <w:rFonts w:hint="eastAsia"/>
          <w:color w:val="auto"/>
          <w:highlight w:val="none"/>
        </w:rPr>
        <w:t>“双区”建设契机，</w:t>
      </w:r>
      <w:r>
        <w:rPr>
          <w:rFonts w:hint="eastAsia"/>
          <w:color w:val="auto"/>
          <w:highlight w:val="none"/>
          <w:lang w:val="en-US" w:eastAsia="zh-CN"/>
        </w:rPr>
        <w:t>大力</w:t>
      </w:r>
      <w:r>
        <w:rPr>
          <w:rFonts w:hint="eastAsia"/>
          <w:color w:val="auto"/>
          <w:highlight w:val="none"/>
        </w:rPr>
        <w:t>引进粤港澳大湾区高新技术产业和现代服务业企业总部、区域总部、职能总部等总部机构。支持全区重点企业分支机构逐步发展成为区域总部或全国总部。支持</w:t>
      </w:r>
      <w:r>
        <w:rPr>
          <w:rFonts w:hint="eastAsia"/>
          <w:color w:val="auto"/>
          <w:highlight w:val="none"/>
          <w:lang w:val="en-US" w:eastAsia="zh-CN"/>
        </w:rPr>
        <w:t>湛江市区</w:t>
      </w:r>
      <w:r>
        <w:rPr>
          <w:rFonts w:hint="eastAsia"/>
          <w:color w:val="auto"/>
          <w:highlight w:val="none"/>
        </w:rPr>
        <w:t>总部企业</w:t>
      </w:r>
      <w:r>
        <w:rPr>
          <w:rFonts w:hint="eastAsia"/>
          <w:color w:val="auto"/>
          <w:highlight w:val="none"/>
          <w:lang w:val="en-US" w:eastAsia="zh-CN"/>
        </w:rPr>
        <w:t>在坡头</w:t>
      </w:r>
      <w:r>
        <w:rPr>
          <w:rFonts w:hint="eastAsia"/>
          <w:color w:val="auto"/>
          <w:highlight w:val="none"/>
        </w:rPr>
        <w:t>增设投资中心、财务中心、采购中心、研发中心、销售中心等功能性机构，推动其开展跨区域投资和经营</w:t>
      </w:r>
      <w:r>
        <w:rPr>
          <w:rFonts w:hint="eastAsia"/>
          <w:color w:val="auto"/>
          <w:highlight w:val="none"/>
          <w:lang w:eastAsia="zh-CN"/>
        </w:rPr>
        <w:t>。</w:t>
      </w:r>
      <w:r>
        <w:rPr>
          <w:rFonts w:hint="eastAsia"/>
          <w:color w:val="auto"/>
          <w:highlight w:val="none"/>
        </w:rPr>
        <w:t>完善扶持政策、创新招商模式、优化配套环境，为跨国公司和行业龙头企业设立湛江地区总部及功能中心，提供优质载体及配套服务，促进形成区域总部经济产业集群。建立总部企业招商目录，加强龙头企业招商和特色区域招商，重点引进国内外</w:t>
      </w:r>
      <w:r>
        <w:rPr>
          <w:rFonts w:hint="eastAsia" w:ascii="Times New Roman" w:hAnsi="Times New Roman"/>
          <w:color w:val="auto"/>
          <w:highlight w:val="none"/>
          <w:lang w:eastAsia="zh-CN"/>
        </w:rPr>
        <w:t>500</w:t>
      </w:r>
      <w:r>
        <w:rPr>
          <w:rFonts w:hint="eastAsia"/>
          <w:color w:val="auto"/>
          <w:highlight w:val="none"/>
        </w:rPr>
        <w:t>强、</w:t>
      </w:r>
      <w:r>
        <w:rPr>
          <w:rFonts w:hint="eastAsia"/>
          <w:color w:val="auto"/>
          <w:highlight w:val="none"/>
          <w:lang w:val="en-US" w:eastAsia="zh-CN"/>
        </w:rPr>
        <w:t>大型上市公司、</w:t>
      </w:r>
      <w:r>
        <w:rPr>
          <w:rFonts w:hint="eastAsia"/>
          <w:color w:val="auto"/>
          <w:highlight w:val="none"/>
        </w:rPr>
        <w:t>华南地区及珠三角</w:t>
      </w:r>
      <w:r>
        <w:rPr>
          <w:rFonts w:hint="eastAsia"/>
          <w:color w:val="auto"/>
          <w:highlight w:val="none"/>
          <w:lang w:val="en-US" w:eastAsia="zh-CN"/>
        </w:rPr>
        <w:t>、粤西地区</w:t>
      </w:r>
      <w:r>
        <w:rPr>
          <w:rFonts w:hint="eastAsia"/>
          <w:color w:val="auto"/>
          <w:highlight w:val="none"/>
        </w:rPr>
        <w:t>大型总部企业。鼓励生产企业和商贸企业剥离或外包物流功能，培育和壮大一批骨干物流总部企业。优化产业空间布局，推进</w:t>
      </w:r>
      <w:r>
        <w:rPr>
          <w:rFonts w:hint="eastAsia"/>
          <w:color w:val="auto"/>
          <w:highlight w:val="none"/>
          <w:lang w:val="en-US" w:eastAsia="zh-CN"/>
        </w:rPr>
        <w:t>港城壹号、</w:t>
      </w:r>
      <w:r>
        <w:rPr>
          <w:rFonts w:hint="eastAsia"/>
          <w:color w:val="auto"/>
          <w:szCs w:val="22"/>
          <w:highlight w:val="none"/>
          <w:lang w:val="en-US" w:eastAsia="zh-CN"/>
        </w:rPr>
        <w:t>湛江地标商务中心</w:t>
      </w:r>
      <w:r>
        <w:rPr>
          <w:rFonts w:hint="eastAsia"/>
          <w:color w:val="auto"/>
          <w:highlight w:val="none"/>
        </w:rPr>
        <w:t>等一批总部基地的建设</w:t>
      </w:r>
      <w:r>
        <w:rPr>
          <w:rFonts w:hint="eastAsia"/>
          <w:color w:val="auto"/>
          <w:highlight w:val="none"/>
          <w:lang w:eastAsia="zh-CN"/>
        </w:rPr>
        <w:t>，</w:t>
      </w:r>
      <w:r>
        <w:rPr>
          <w:rFonts w:hint="eastAsia"/>
          <w:color w:val="auto"/>
          <w:highlight w:val="none"/>
        </w:rPr>
        <w:t>大力发展“楼宇经济”，加快推进以旧工业区和旧村为重点的综合改造，完善公共服务设施，引进</w:t>
      </w:r>
      <w:r>
        <w:rPr>
          <w:rFonts w:hint="eastAsia"/>
          <w:color w:val="auto"/>
          <w:highlight w:val="none"/>
          <w:lang w:val="en-US" w:eastAsia="zh-CN"/>
        </w:rPr>
        <w:t>发展</w:t>
      </w:r>
      <w:r>
        <w:rPr>
          <w:rFonts w:hint="eastAsia"/>
          <w:color w:val="auto"/>
          <w:highlight w:val="none"/>
        </w:rPr>
        <w:t>大型商业综合体和高端写字楼。</w:t>
      </w:r>
    </w:p>
    <w:p>
      <w:pPr>
        <w:pStyle w:val="5"/>
        <w:rPr>
          <w:color w:val="auto"/>
          <w:highlight w:val="none"/>
        </w:rPr>
      </w:pPr>
      <w:r>
        <w:rPr>
          <w:color w:val="auto"/>
          <w:highlight w:val="none"/>
        </w:rPr>
        <w:t>三、着力发展现代物流业</w:t>
      </w:r>
    </w:p>
    <w:p>
      <w:pPr>
        <w:ind w:firstLine="640"/>
        <w:rPr>
          <w:color w:val="auto"/>
          <w:highlight w:val="none"/>
        </w:rPr>
      </w:pPr>
      <w:r>
        <w:rPr>
          <w:rFonts w:hint="eastAsia"/>
          <w:color w:val="auto"/>
          <w:highlight w:val="none"/>
        </w:rPr>
        <w:t>依托广湛高铁及广湛高速公路、云湛高速公路、深湛铁路贯穿全境</w:t>
      </w:r>
      <w:r>
        <w:rPr>
          <w:rFonts w:hint="eastAsia"/>
          <w:color w:val="auto"/>
          <w:highlight w:val="none"/>
          <w:lang w:val="en-US" w:eastAsia="zh-CN"/>
        </w:rPr>
        <w:t>及临近湛江新机场</w:t>
      </w:r>
      <w:r>
        <w:rPr>
          <w:rFonts w:hint="eastAsia"/>
          <w:color w:val="auto"/>
          <w:highlight w:val="none"/>
        </w:rPr>
        <w:t>的交通区位优势，</w:t>
      </w:r>
      <w:r>
        <w:rPr>
          <w:color w:val="auto"/>
          <w:highlight w:val="none"/>
        </w:rPr>
        <w:t>推进建设海陆空物流园，着力发展物流加工、仓储配送等现代物流业，积极探索现代物流业新模式、新机制。加快构建智慧信息交易平台，加快物流信息化普及与推广，重点推进北斗导航、物联网、云计算、大数据、移动互联等信息技术在物流领域的应用，实现信息化的互联对接和共享互通，形成</w:t>
      </w:r>
      <w:r>
        <w:rPr>
          <w:rFonts w:hint="eastAsia"/>
          <w:color w:val="auto"/>
          <w:highlight w:val="none"/>
        </w:rPr>
        <w:t>“</w:t>
      </w:r>
      <w:r>
        <w:rPr>
          <w:color w:val="auto"/>
          <w:highlight w:val="none"/>
        </w:rPr>
        <w:t>交换平台＋数据库＋云服务</w:t>
      </w:r>
      <w:r>
        <w:rPr>
          <w:rFonts w:hint="eastAsia"/>
          <w:color w:val="auto"/>
          <w:highlight w:val="none"/>
        </w:rPr>
        <w:t>”</w:t>
      </w:r>
      <w:r>
        <w:rPr>
          <w:color w:val="auto"/>
          <w:highlight w:val="none"/>
        </w:rPr>
        <w:t>的现代物流信息体系，提升物流信息化水平。科学布局物流网络和物流通道，完善城乡快递配送网络，加快规划建设城市公共配送中心、镇级分拨中心、末端配送网点的三级配送网络体系，推动配送服务向镇村延伸。强化物流园区支撑，培育发展物流新业态，建成社会化、专业化、现代化、信息化和国际化的现代物流服务业体系。引进物流龙头企业，加快引进一批国内外大型物流企业，鼓励大型物流企业和跨国物流公司在</w:t>
      </w:r>
      <w:r>
        <w:rPr>
          <w:rFonts w:hint="eastAsia"/>
          <w:color w:val="auto"/>
          <w:highlight w:val="none"/>
          <w:lang w:val="en-US" w:eastAsia="zh-CN"/>
        </w:rPr>
        <w:t>坡头</w:t>
      </w:r>
      <w:r>
        <w:rPr>
          <w:color w:val="auto"/>
          <w:highlight w:val="none"/>
        </w:rPr>
        <w:t>设立区域总部机构或分支机构。</w:t>
      </w:r>
    </w:p>
    <w:p>
      <w:pPr>
        <w:pStyle w:val="5"/>
        <w:rPr>
          <w:color w:val="auto"/>
          <w:highlight w:val="none"/>
        </w:rPr>
      </w:pPr>
      <w:r>
        <w:rPr>
          <w:color w:val="auto"/>
          <w:highlight w:val="none"/>
        </w:rPr>
        <w:t>四、支持发展文化创意产业</w:t>
      </w:r>
    </w:p>
    <w:p>
      <w:pPr>
        <w:ind w:firstLine="640"/>
        <w:rPr>
          <w:color w:val="auto"/>
          <w:highlight w:val="none"/>
        </w:rPr>
      </w:pPr>
      <w:r>
        <w:rPr>
          <w:color w:val="auto"/>
          <w:highlight w:val="none"/>
        </w:rPr>
        <w:t>以海东新区文化创意产业园为基础，鼓励创业、创新、创意、创造，寻求在广播影视、动漫、音像、传媒、视觉艺术、表演艺术、工艺与设计、雕塑、环境艺术、广告装潢、服装设计、软件和计算机服务等方面的创意商务运作平台建设，不断提升文化创意和设计服务产业规模和集聚辐射能力。推动数字创意与生产制造、文化教育、旅游会展、生活健康等各领域的融合渗透，鼓励跨行业跨领域合作，提高产品附加值。加快发展工业设计，探索工业设计服务企业新模式，推动制造业企业设立独立的工业设计中心，鼓励设计企业参与制造全流程协同创新。强化工业设计对产业发展的支撑，重点围绕家电、智能家具等行业，以工业设计引领制造和消费，推动设计机构、设计企业走进制造产业。坚持保护、传承、开发、创新相结合，将坡头区地方特色文化融入创意内容和设计理念，逐渐形成具有岭南文化特色的创意设计风格和差别化、多样化的产业格局。</w:t>
      </w:r>
    </w:p>
    <w:p>
      <w:pPr>
        <w:pStyle w:val="5"/>
        <w:numPr>
          <w:ilvl w:val="0"/>
          <w:numId w:val="0"/>
        </w:numPr>
        <w:ind w:firstLine="643" w:firstLineChars="200"/>
        <w:rPr>
          <w:color w:val="auto"/>
          <w:highlight w:val="none"/>
        </w:rPr>
      </w:pPr>
      <w:bookmarkStart w:id="118" w:name="_Toc7619"/>
      <w:bookmarkStart w:id="119" w:name="_Toc16398"/>
      <w:bookmarkStart w:id="120" w:name="_Toc22512"/>
      <w:bookmarkStart w:id="121" w:name="_Toc27181"/>
      <w:bookmarkStart w:id="122" w:name="_Toc18158"/>
      <w:bookmarkStart w:id="123" w:name="_Toc53003169"/>
      <w:r>
        <w:rPr>
          <w:rFonts w:hint="eastAsia"/>
          <w:color w:val="auto"/>
          <w:highlight w:val="none"/>
          <w:lang w:val="en-US" w:eastAsia="zh-CN"/>
        </w:rPr>
        <w:t>五、</w:t>
      </w:r>
      <w:r>
        <w:rPr>
          <w:rFonts w:hint="eastAsia"/>
          <w:color w:val="auto"/>
          <w:highlight w:val="none"/>
        </w:rPr>
        <w:t>壮大</w:t>
      </w:r>
      <w:r>
        <w:rPr>
          <w:rFonts w:hint="eastAsia"/>
          <w:color w:val="auto"/>
          <w:highlight w:val="none"/>
          <w:lang w:val="en-US" w:eastAsia="zh-CN"/>
        </w:rPr>
        <w:t>发展</w:t>
      </w:r>
      <w:r>
        <w:rPr>
          <w:rFonts w:hint="eastAsia"/>
          <w:color w:val="auto"/>
          <w:highlight w:val="none"/>
        </w:rPr>
        <w:t>滨海旅游</w:t>
      </w:r>
    </w:p>
    <w:p>
      <w:pPr>
        <w:ind w:firstLine="640"/>
        <w:rPr>
          <w:rFonts w:hint="eastAsia"/>
          <w:color w:val="auto"/>
          <w:highlight w:val="none"/>
        </w:rPr>
      </w:pPr>
      <w:r>
        <w:rPr>
          <w:rFonts w:hint="eastAsia"/>
          <w:color w:val="auto"/>
          <w:highlight w:val="none"/>
        </w:rPr>
        <w:t>加快推进南调河亚热带风情街项目的建设，建成集旅游观光、滨海度假、康体娱乐、文化休闲、海鲜美食、购物于一体多元化标志性景观的亚热带滨海旅游风情街（河），打造成粤西地区品味的休闲旅游示范景点，南中国旅游目的地。加快建设集海洋湿地科普、海油钻探科普、海军军事主题科普、海上装备展示等功能一体的龙王湾国家海洋湿地公园；围绕湿地公园建设游艇</w:t>
      </w:r>
      <w:r>
        <w:rPr>
          <w:rFonts w:hint="eastAsia"/>
          <w:color w:val="auto"/>
          <w:highlight w:val="none"/>
          <w:lang w:val="en-US" w:eastAsia="zh-CN"/>
        </w:rPr>
        <w:t>基地</w:t>
      </w:r>
      <w:r>
        <w:rPr>
          <w:rFonts w:hint="eastAsia"/>
          <w:color w:val="auto"/>
          <w:highlight w:val="none"/>
        </w:rPr>
        <w:t>，建立水上运动中心，将龙王湾湿地公园打造成为集滨海旅游、科普教育、海上运动为一体的旅游</w:t>
      </w:r>
      <w:r>
        <w:rPr>
          <w:rFonts w:hint="eastAsia"/>
          <w:color w:val="auto"/>
          <w:highlight w:val="none"/>
          <w:lang w:val="en-US" w:eastAsia="zh-CN"/>
        </w:rPr>
        <w:t>景点</w:t>
      </w:r>
      <w:r>
        <w:rPr>
          <w:rFonts w:hint="eastAsia"/>
          <w:color w:val="auto"/>
          <w:highlight w:val="none"/>
        </w:rPr>
        <w:t>；推动滨海旅游与文化相结合，建设特色民俗艺术表演区，开发海洋主题文化旅游。积极推进</w:t>
      </w:r>
      <w:r>
        <w:rPr>
          <w:rFonts w:hint="eastAsia"/>
          <w:color w:val="auto"/>
          <w:highlight w:val="none"/>
          <w:lang w:val="en-US" w:eastAsia="zh-CN"/>
        </w:rPr>
        <w:t>坡头官渡森林康养小镇、</w:t>
      </w:r>
      <w:r>
        <w:rPr>
          <w:rFonts w:hint="eastAsia"/>
          <w:color w:val="auto"/>
          <w:highlight w:val="none"/>
        </w:rPr>
        <w:t>乾塘万亩</w:t>
      </w:r>
      <w:r>
        <w:rPr>
          <w:rFonts w:hint="eastAsia"/>
          <w:color w:val="auto"/>
          <w:highlight w:val="none"/>
          <w:lang w:val="en-US" w:eastAsia="zh-CN"/>
        </w:rPr>
        <w:t>荷</w:t>
      </w:r>
      <w:r>
        <w:rPr>
          <w:rFonts w:hint="eastAsia"/>
          <w:color w:val="auto"/>
          <w:highlight w:val="none"/>
        </w:rPr>
        <w:t>田生态基地、海东温泉度假区、笔架岭森林公园、阳光玫瑰生态旅游区等旅游特色品牌项目扩大建设，完善重点规划开发区域旅游措施，实现坡头区旅游板块多元化发展。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widowControl/>
              <w:ind w:firstLine="0" w:firstLineChars="0"/>
              <w:jc w:val="center"/>
              <w:textAlignment w:val="baseline"/>
              <w:rPr>
                <w:color w:val="auto"/>
                <w:kern w:val="0"/>
                <w:szCs w:val="32"/>
                <w:highlight w:val="none"/>
              </w:rPr>
            </w:pPr>
            <w:r>
              <w:rPr>
                <w:rFonts w:eastAsia="宋体"/>
                <w:b/>
                <w:bCs/>
                <w:color w:val="auto"/>
                <w:kern w:val="0"/>
                <w:sz w:val="28"/>
                <w:szCs w:val="28"/>
                <w:highlight w:val="none"/>
              </w:rPr>
              <w:t>专栏</w:t>
            </w:r>
            <w:r>
              <w:rPr>
                <w:rFonts w:hint="eastAsia" w:ascii="Times New Roman" w:hAnsi="Times New Roman" w:eastAsia="宋体"/>
                <w:b/>
                <w:bCs/>
                <w:color w:val="auto"/>
                <w:kern w:val="0"/>
                <w:sz w:val="28"/>
                <w:szCs w:val="28"/>
                <w:highlight w:val="none"/>
                <w:lang w:val="en-US" w:eastAsia="zh-CN"/>
              </w:rPr>
              <w:t>4</w:t>
            </w:r>
            <w:r>
              <w:rPr>
                <w:rFonts w:eastAsia="宋体"/>
                <w:b/>
                <w:bCs/>
                <w:color w:val="auto"/>
                <w:kern w:val="0"/>
                <w:sz w:val="28"/>
                <w:szCs w:val="28"/>
                <w:highlight w:val="none"/>
              </w:rPr>
              <w:t>：现代服务业重点方向与业态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522" w:type="dxa"/>
            <w:tcBorders>
              <w:top w:val="single" w:color="auto" w:sz="4" w:space="0"/>
              <w:left w:val="single" w:color="auto" w:sz="4" w:space="0"/>
              <w:bottom w:val="single" w:color="auto" w:sz="4" w:space="0"/>
              <w:right w:val="single" w:color="auto" w:sz="4" w:space="0"/>
            </w:tcBorders>
          </w:tcPr>
          <w:p>
            <w:pPr>
              <w:widowControl/>
              <w:numPr>
                <w:ilvl w:val="0"/>
                <w:numId w:val="0"/>
              </w:numPr>
              <w:textAlignment w:val="baseline"/>
              <w:rPr>
                <w:rFonts w:hint="eastAsia"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1.</w:t>
            </w:r>
            <w:r>
              <w:rPr>
                <w:rFonts w:hint="eastAsia" w:eastAsia="宋体"/>
                <w:b/>
                <w:bCs/>
                <w:color w:val="auto"/>
                <w:sz w:val="24"/>
                <w:szCs w:val="24"/>
                <w:highlight w:val="none"/>
                <w:lang w:val="en-US" w:eastAsia="zh-CN"/>
              </w:rPr>
              <w:t xml:space="preserve"> 会展</w:t>
            </w:r>
            <w:r>
              <w:rPr>
                <w:rFonts w:hint="eastAsia" w:eastAsia="宋体"/>
                <w:b/>
                <w:bCs/>
                <w:color w:val="auto"/>
                <w:sz w:val="24"/>
                <w:szCs w:val="24"/>
                <w:highlight w:val="none"/>
              </w:rPr>
              <w:t>商贸。</w:t>
            </w:r>
            <w:r>
              <w:rPr>
                <w:rFonts w:hint="eastAsia" w:eastAsia="宋体"/>
                <w:color w:val="auto"/>
                <w:sz w:val="24"/>
                <w:szCs w:val="24"/>
                <w:highlight w:val="none"/>
              </w:rPr>
              <w:t>跨国公司和企业集团总部入驻的总部经济，在中心城区聚集形成企业总部在本区域集群布局，并形成为企业总部服务的知识型服务业产业链，包括由通信、网络、传媒、咨询等组成的信息服务业，由会计、审计、评估、法律服务等中介服务业，由电子商务、网络教育培训等组成的新型服务业等。</w:t>
            </w:r>
            <w:r>
              <w:rPr>
                <w:rFonts w:hint="eastAsia" w:eastAsia="宋体"/>
                <w:color w:val="auto"/>
                <w:sz w:val="24"/>
                <w:szCs w:val="24"/>
                <w:highlight w:val="none"/>
                <w:lang w:val="en-US" w:eastAsia="zh-CN"/>
              </w:rPr>
              <w:t>举办</w:t>
            </w:r>
            <w:r>
              <w:rPr>
                <w:rFonts w:hint="eastAsia" w:eastAsia="宋体"/>
                <w:color w:val="auto"/>
                <w:sz w:val="24"/>
                <w:szCs w:val="24"/>
                <w:highlight w:val="none"/>
              </w:rPr>
              <w:t>国际科技交流大会、国际商务会议，国内行业大会、区域合作会议，专业展览会、品牌展贸会、新品发布会、专利技术交易会、进出商品和服务展博会等。</w:t>
            </w:r>
          </w:p>
          <w:p>
            <w:pPr>
              <w:widowControl/>
              <w:ind w:firstLine="0" w:firstLineChars="0"/>
              <w:textAlignment w:val="baseline"/>
              <w:rPr>
                <w:rFonts w:hint="eastAsia"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2.</w:t>
            </w:r>
            <w:r>
              <w:rPr>
                <w:rFonts w:hint="eastAsia" w:eastAsia="宋体"/>
                <w:b/>
                <w:bCs/>
                <w:color w:val="auto"/>
                <w:sz w:val="24"/>
                <w:szCs w:val="24"/>
                <w:highlight w:val="none"/>
                <w:lang w:val="en-US" w:eastAsia="zh-CN"/>
              </w:rPr>
              <w:t xml:space="preserve"> 总部经济</w:t>
            </w:r>
            <w:r>
              <w:rPr>
                <w:rFonts w:hint="eastAsia" w:eastAsia="宋体"/>
                <w:color w:val="auto"/>
                <w:sz w:val="24"/>
                <w:szCs w:val="24"/>
                <w:highlight w:val="none"/>
                <w:lang w:val="en-US" w:eastAsia="zh-CN"/>
              </w:rPr>
              <w:t>。吸引</w:t>
            </w:r>
            <w:r>
              <w:rPr>
                <w:rFonts w:hint="eastAsia" w:eastAsia="宋体"/>
                <w:color w:val="auto"/>
                <w:sz w:val="24"/>
                <w:szCs w:val="24"/>
                <w:highlight w:val="none"/>
              </w:rPr>
              <w:t>高新技术产业和现代服务业企业总部、区域总部、职能总部等总部机构</w:t>
            </w:r>
            <w:r>
              <w:rPr>
                <w:rFonts w:hint="eastAsia" w:eastAsia="宋体"/>
                <w:color w:val="auto"/>
                <w:sz w:val="24"/>
                <w:szCs w:val="24"/>
                <w:highlight w:val="none"/>
                <w:lang w:val="en-US" w:eastAsia="zh-CN"/>
              </w:rPr>
              <w:t>入驻，支持总部企业增设投资中心、财务中心、采购中心、研发中心、销售中心等功能性机构。</w:t>
            </w:r>
          </w:p>
          <w:p>
            <w:pPr>
              <w:widowControl/>
              <w:ind w:firstLine="0" w:firstLineChars="0"/>
              <w:textAlignment w:val="baseline"/>
              <w:rPr>
                <w:rFonts w:hint="eastAsia" w:eastAsia="宋体"/>
                <w:color w:val="auto"/>
                <w:sz w:val="24"/>
                <w:szCs w:val="24"/>
                <w:highlight w:val="none"/>
              </w:rPr>
            </w:pPr>
            <w:r>
              <w:rPr>
                <w:rFonts w:hint="eastAsia" w:ascii="Times New Roman" w:hAnsi="Times New Roman" w:eastAsia="宋体"/>
                <w:b/>
                <w:bCs/>
                <w:color w:val="auto"/>
                <w:sz w:val="24"/>
                <w:szCs w:val="24"/>
                <w:highlight w:val="none"/>
                <w:lang w:val="en-US" w:eastAsia="zh-CN"/>
              </w:rPr>
              <w:t>3.</w:t>
            </w:r>
            <w:r>
              <w:rPr>
                <w:rFonts w:hint="eastAsia" w:eastAsia="宋体"/>
                <w:b/>
                <w:bCs/>
                <w:color w:val="auto"/>
                <w:sz w:val="24"/>
                <w:szCs w:val="24"/>
                <w:highlight w:val="none"/>
                <w:lang w:val="en-US" w:eastAsia="zh-CN"/>
              </w:rPr>
              <w:t xml:space="preserve"> </w:t>
            </w:r>
            <w:r>
              <w:rPr>
                <w:rFonts w:hint="eastAsia" w:eastAsia="宋体"/>
                <w:b/>
                <w:bCs/>
                <w:color w:val="auto"/>
                <w:sz w:val="24"/>
                <w:szCs w:val="24"/>
                <w:highlight w:val="none"/>
              </w:rPr>
              <w:t>现代物流。</w:t>
            </w:r>
            <w:r>
              <w:rPr>
                <w:rFonts w:hint="eastAsia" w:eastAsia="宋体"/>
                <w:color w:val="auto"/>
                <w:sz w:val="24"/>
                <w:szCs w:val="24"/>
                <w:highlight w:val="none"/>
              </w:rPr>
              <w:t>通过智能软硬件、物联网、大数据等智慧化技术手段，采用红外、激光、无线、编码、认址、自动识别、定位、数据库、传感器、</w:t>
            </w:r>
            <w:r>
              <w:rPr>
                <w:rFonts w:hint="eastAsia" w:ascii="Times New Roman" w:hAnsi="Times New Roman" w:eastAsia="宋体"/>
                <w:color w:val="auto"/>
                <w:sz w:val="24"/>
                <w:szCs w:val="24"/>
                <w:highlight w:val="none"/>
                <w:lang w:eastAsia="zh-CN"/>
              </w:rPr>
              <w:t>RFID</w:t>
            </w:r>
            <w:r>
              <w:rPr>
                <w:rFonts w:hint="eastAsia" w:eastAsia="宋体"/>
                <w:color w:val="auto"/>
                <w:sz w:val="24"/>
                <w:szCs w:val="24"/>
                <w:highlight w:val="none"/>
              </w:rPr>
              <w:t>、卫星定位等高新技术，促进物流各环节精细化、动态化、可视化管理，提高物流系统智能化分析决策和自动化操作执行能力，提升物流运作效率的现代化物流模式，实现物流自动化、网络化、可视化、实时化、跟踪与智能控制。</w:t>
            </w:r>
          </w:p>
          <w:p>
            <w:pPr>
              <w:widowControl/>
              <w:ind w:firstLine="0" w:firstLineChars="0"/>
              <w:textAlignment w:val="baseline"/>
              <w:rPr>
                <w:rFonts w:hint="eastAsia" w:eastAsia="宋体"/>
                <w:color w:val="auto"/>
                <w:sz w:val="24"/>
                <w:szCs w:val="24"/>
                <w:highlight w:val="none"/>
                <w:lang w:eastAsia="zh-CN"/>
              </w:rPr>
            </w:pPr>
            <w:r>
              <w:rPr>
                <w:rFonts w:hint="eastAsia" w:ascii="Times New Roman" w:hAnsi="Times New Roman" w:eastAsia="宋体"/>
                <w:b/>
                <w:bCs/>
                <w:color w:val="auto"/>
                <w:sz w:val="24"/>
                <w:szCs w:val="24"/>
                <w:highlight w:val="none"/>
                <w:lang w:val="en-US" w:eastAsia="zh-CN"/>
              </w:rPr>
              <w:t>4.</w:t>
            </w:r>
            <w:r>
              <w:rPr>
                <w:rFonts w:hint="eastAsia" w:eastAsia="宋体"/>
                <w:b/>
                <w:bCs/>
                <w:color w:val="auto"/>
                <w:sz w:val="24"/>
                <w:szCs w:val="24"/>
                <w:highlight w:val="none"/>
                <w:lang w:val="en-US" w:eastAsia="zh-CN"/>
              </w:rPr>
              <w:t xml:space="preserve"> 文化创意</w:t>
            </w:r>
            <w:r>
              <w:rPr>
                <w:rFonts w:hint="eastAsia" w:eastAsia="宋体"/>
                <w:b/>
                <w:bCs/>
                <w:color w:val="auto"/>
                <w:sz w:val="24"/>
                <w:szCs w:val="24"/>
                <w:highlight w:val="none"/>
              </w:rPr>
              <w:t>。</w:t>
            </w:r>
            <w:r>
              <w:rPr>
                <w:rFonts w:hint="eastAsia" w:eastAsia="宋体"/>
                <w:color w:val="auto"/>
                <w:sz w:val="24"/>
                <w:szCs w:val="24"/>
                <w:highlight w:val="none"/>
                <w:lang w:val="en-US" w:eastAsia="zh-CN"/>
              </w:rPr>
              <w:t>文化创意产业重点发展</w:t>
            </w:r>
            <w:r>
              <w:rPr>
                <w:rFonts w:hint="eastAsia" w:eastAsia="宋体"/>
                <w:color w:val="auto"/>
                <w:sz w:val="24"/>
                <w:szCs w:val="24"/>
                <w:highlight w:val="none"/>
              </w:rPr>
              <w:t>广播影视、动漫、音像、传媒、视觉艺术、表演艺术、工艺与设计、雕塑、环境艺术、广告装潢、服装设计、软件和计算机服务</w:t>
            </w:r>
            <w:r>
              <w:rPr>
                <w:rFonts w:hint="eastAsia" w:eastAsia="宋体"/>
                <w:color w:val="auto"/>
                <w:sz w:val="24"/>
                <w:szCs w:val="24"/>
                <w:highlight w:val="none"/>
                <w:lang w:eastAsia="zh-CN"/>
              </w:rPr>
              <w:t>。</w:t>
            </w:r>
          </w:p>
          <w:p>
            <w:pPr>
              <w:widowControl/>
              <w:ind w:firstLine="0" w:firstLineChars="0"/>
              <w:textAlignment w:val="baseline"/>
              <w:rPr>
                <w:rFonts w:eastAsia="宋体"/>
                <w:b/>
                <w:bCs/>
                <w:color w:val="auto"/>
                <w:kern w:val="0"/>
                <w:sz w:val="21"/>
                <w:szCs w:val="21"/>
                <w:highlight w:val="none"/>
              </w:rPr>
            </w:pPr>
            <w:r>
              <w:rPr>
                <w:rFonts w:hint="eastAsia" w:ascii="Times New Roman" w:hAnsi="Times New Roman" w:eastAsia="宋体"/>
                <w:b/>
                <w:bCs/>
                <w:color w:val="auto"/>
                <w:sz w:val="24"/>
                <w:szCs w:val="24"/>
                <w:highlight w:val="none"/>
                <w:lang w:val="en-US" w:eastAsia="zh-CN"/>
              </w:rPr>
              <w:t>5.</w:t>
            </w:r>
            <w:r>
              <w:rPr>
                <w:rFonts w:hint="eastAsia" w:eastAsia="宋体"/>
                <w:b/>
                <w:bCs/>
                <w:color w:val="auto"/>
                <w:sz w:val="24"/>
                <w:szCs w:val="24"/>
                <w:highlight w:val="none"/>
                <w:lang w:val="en-US" w:eastAsia="zh-CN"/>
              </w:rPr>
              <w:t xml:space="preserve"> 滨海旅游</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发展生态文化旅游、工业旅游等现代旅游，融合民俗与庆典旅游、海洋文化旅游以及游艇休闲旅游，着力打造一批特色鲜明的滨海旅游节点和滨海风情旅游村，大力培育旅游新业态。</w:t>
            </w:r>
          </w:p>
        </w:tc>
      </w:tr>
    </w:tbl>
    <w:p>
      <w:pPr>
        <w:pStyle w:val="2"/>
        <w:rPr>
          <w:color w:val="auto"/>
          <w:highlight w:val="none"/>
        </w:rPr>
      </w:pPr>
    </w:p>
    <w:bookmarkEnd w:id="118"/>
    <w:bookmarkEnd w:id="119"/>
    <w:bookmarkEnd w:id="120"/>
    <w:bookmarkEnd w:id="121"/>
    <w:bookmarkEnd w:id="122"/>
    <w:p>
      <w:pPr>
        <w:pStyle w:val="4"/>
        <w:spacing w:before="62" w:after="62"/>
        <w:ind w:firstLine="0"/>
        <w:jc w:val="center"/>
        <w:rPr>
          <w:rFonts w:hint="default" w:ascii="宋体" w:hAnsi="宋体"/>
          <w:color w:val="auto"/>
          <w:highlight w:val="none"/>
        </w:rPr>
      </w:pPr>
      <w:bookmarkStart w:id="124" w:name="_Toc23455"/>
      <w:r>
        <w:rPr>
          <w:rFonts w:hint="eastAsia" w:ascii="宋体" w:hAnsi="宋体"/>
          <w:color w:val="auto"/>
          <w:highlight w:val="none"/>
          <w:lang w:val="en-US" w:eastAsia="zh-CN"/>
        </w:rPr>
        <w:t xml:space="preserve">第四节 </w:t>
      </w:r>
      <w:r>
        <w:rPr>
          <w:rFonts w:hint="default" w:ascii="宋体" w:hAnsi="宋体"/>
          <w:color w:val="auto"/>
          <w:highlight w:val="none"/>
        </w:rPr>
        <w:t>建设国家级滨海旅游示范区</w:t>
      </w:r>
      <w:bookmarkEnd w:id="123"/>
      <w:bookmarkEnd w:id="124"/>
    </w:p>
    <w:p>
      <w:pPr>
        <w:numPr>
          <w:ilvl w:val="0"/>
          <w:numId w:val="0"/>
        </w:numPr>
        <w:bidi w:val="0"/>
        <w:ind w:firstLine="640" w:firstLineChars="200"/>
        <w:rPr>
          <w:rFonts w:hint="eastAsia" w:eastAsia="仿宋"/>
          <w:color w:val="auto"/>
          <w:highlight w:val="none"/>
          <w:lang w:val="en-US" w:eastAsia="zh-CN"/>
        </w:rPr>
      </w:pPr>
      <w:r>
        <w:rPr>
          <w:rFonts w:hint="eastAsia"/>
          <w:color w:val="auto"/>
          <w:highlight w:val="none"/>
        </w:rPr>
        <w:t>依托坡头地处湛江内湾、海岸线绵长的禀赋优势</w:t>
      </w:r>
      <w:r>
        <w:rPr>
          <w:rFonts w:hint="eastAsia"/>
          <w:color w:val="auto"/>
          <w:highlight w:val="none"/>
          <w:lang w:eastAsia="zh-CN"/>
        </w:rPr>
        <w:t>，</w:t>
      </w:r>
      <w:r>
        <w:rPr>
          <w:rFonts w:hint="eastAsia"/>
          <w:color w:val="auto"/>
          <w:highlight w:val="none"/>
          <w:lang w:val="en-US" w:eastAsia="zh-CN"/>
        </w:rPr>
        <w:t>大力发展滨海旅游，推动滨海旅游与当地文化相结合，创建</w:t>
      </w:r>
      <w:r>
        <w:rPr>
          <w:rFonts w:hint="default"/>
          <w:color w:val="auto"/>
          <w:highlight w:val="none"/>
        </w:rPr>
        <w:t>国家级滨海旅游示范区</w:t>
      </w:r>
      <w:r>
        <w:rPr>
          <w:rFonts w:hint="eastAsia"/>
          <w:color w:val="auto"/>
          <w:highlight w:val="none"/>
          <w:lang w:eastAsia="zh-CN"/>
        </w:rPr>
        <w:t>。</w:t>
      </w:r>
    </w:p>
    <w:p>
      <w:pPr>
        <w:pStyle w:val="5"/>
        <w:rPr>
          <w:color w:val="auto"/>
          <w:highlight w:val="none"/>
        </w:rPr>
      </w:pPr>
      <w:bookmarkStart w:id="125" w:name="_Toc14733"/>
      <w:bookmarkStart w:id="126" w:name="_Toc12021"/>
      <w:r>
        <w:rPr>
          <w:color w:val="auto"/>
          <w:highlight w:val="none"/>
        </w:rPr>
        <w:t>一、打造全域旅游示范区</w:t>
      </w:r>
      <w:bookmarkEnd w:id="125"/>
      <w:bookmarkEnd w:id="126"/>
    </w:p>
    <w:p>
      <w:pPr>
        <w:ind w:firstLine="640"/>
        <w:rPr>
          <w:rFonts w:hint="eastAsia" w:ascii="仿宋" w:hAnsi="仿宋" w:eastAsia="仿宋" w:cs="仿宋"/>
          <w:color w:val="auto"/>
          <w:highlight w:val="none"/>
        </w:rPr>
      </w:pPr>
      <w:r>
        <w:rPr>
          <w:color w:val="auto"/>
          <w:highlight w:val="none"/>
        </w:rPr>
        <w:t>推动旅游产业多样化、高端化、集约化发展，</w:t>
      </w:r>
      <w:r>
        <w:rPr>
          <w:rFonts w:hint="eastAsia"/>
          <w:color w:val="auto"/>
          <w:highlight w:val="none"/>
          <w:lang w:val="en-US" w:eastAsia="zh-CN"/>
        </w:rPr>
        <w:t>加快</w:t>
      </w:r>
      <w:r>
        <w:rPr>
          <w:color w:val="auto"/>
          <w:highlight w:val="none"/>
        </w:rPr>
        <w:t>创建国家级滨海旅游示范区促进旅游产业与其他产业深度融合发展，提升旅游文化内涵和附加值，</w:t>
      </w:r>
      <w:r>
        <w:rPr>
          <w:rFonts w:hint="eastAsia" w:ascii="仿宋" w:hAnsi="仿宋" w:eastAsia="仿宋" w:cs="仿宋"/>
          <w:color w:val="auto"/>
          <w:highlight w:val="none"/>
        </w:rPr>
        <w:t>重点打造“滨海度假、生态休闲、旅游科普、特色文化、海鲜美食、体育保健”六大品牌，将奥体中心片区</w:t>
      </w:r>
      <w:r>
        <w:rPr>
          <w:rFonts w:hint="eastAsia" w:ascii="仿宋" w:hAnsi="仿宋" w:cs="仿宋"/>
          <w:color w:val="auto"/>
          <w:highlight w:val="none"/>
          <w:lang w:val="en-US" w:eastAsia="zh-CN"/>
        </w:rPr>
        <w:t>打造</w:t>
      </w:r>
      <w:r>
        <w:rPr>
          <w:rFonts w:hint="eastAsia" w:ascii="仿宋" w:hAnsi="仿宋" w:eastAsia="仿宋" w:cs="仿宋"/>
          <w:color w:val="auto"/>
          <w:highlight w:val="none"/>
        </w:rPr>
        <w:t>成为“湛江名优产品永久展销中心”、</w:t>
      </w:r>
      <w:r>
        <w:rPr>
          <w:rFonts w:hint="eastAsia" w:ascii="Times New Roman" w:hAnsi="Times New Roman" w:cs="Times New Roman"/>
          <w:color w:val="auto"/>
          <w:highlight w:val="none"/>
          <w:lang w:eastAsia="zh-CN"/>
        </w:rPr>
        <w:t>O2O</w:t>
      </w:r>
      <w:r>
        <w:rPr>
          <w:rFonts w:hint="eastAsia" w:ascii="仿宋" w:hAnsi="仿宋" w:eastAsia="仿宋" w:cs="仿宋"/>
          <w:color w:val="auto"/>
          <w:highlight w:val="none"/>
        </w:rPr>
        <w:t>展示店、土特产电商基地，</w:t>
      </w:r>
      <w:r>
        <w:rPr>
          <w:rFonts w:hint="eastAsia" w:ascii="仿宋" w:hAnsi="仿宋" w:cs="仿宋"/>
          <w:color w:val="auto"/>
          <w:highlight w:val="none"/>
          <w:lang w:val="en-US" w:eastAsia="zh-CN"/>
        </w:rPr>
        <w:t>形成</w:t>
      </w:r>
      <w:r>
        <w:rPr>
          <w:rFonts w:hint="eastAsia" w:ascii="仿宋" w:hAnsi="仿宋" w:eastAsia="仿宋" w:cs="仿宋"/>
          <w:color w:val="auto"/>
          <w:highlight w:val="none"/>
        </w:rPr>
        <w:t>集旅游观光、休闲、美食、购物、娱乐于一体的旅客集散中心。培育旅游产业成为第三产业龙头，将坡头打造成中国独具特色的滨海旅游目的地。</w:t>
      </w:r>
    </w:p>
    <w:p>
      <w:pPr>
        <w:pStyle w:val="5"/>
        <w:rPr>
          <w:color w:val="auto"/>
          <w:highlight w:val="none"/>
        </w:rPr>
      </w:pPr>
      <w:r>
        <w:rPr>
          <w:rFonts w:hint="eastAsia"/>
          <w:color w:val="auto"/>
          <w:highlight w:val="none"/>
          <w:lang w:val="en-US" w:eastAsia="zh-CN"/>
        </w:rPr>
        <w:t>二</w:t>
      </w:r>
      <w:r>
        <w:rPr>
          <w:color w:val="auto"/>
          <w:highlight w:val="none"/>
        </w:rPr>
        <w:t>、建设南三岛旅游示范区</w:t>
      </w:r>
    </w:p>
    <w:p>
      <w:pPr>
        <w:rPr>
          <w:color w:val="auto"/>
          <w:highlight w:val="none"/>
        </w:rPr>
      </w:pPr>
      <w:r>
        <w:rPr>
          <w:color w:val="auto"/>
          <w:highlight w:val="none"/>
        </w:rPr>
        <w:t>深入开发南三岛旅游资源，推动南三岛旅游示范区打造</w:t>
      </w:r>
      <w:r>
        <w:rPr>
          <w:rFonts w:hint="eastAsia" w:ascii="Times New Roman" w:hAnsi="Times New Roman"/>
          <w:color w:val="auto"/>
          <w:highlight w:val="none"/>
          <w:lang w:eastAsia="zh-CN"/>
        </w:rPr>
        <w:t>5A</w:t>
      </w:r>
      <w:r>
        <w:rPr>
          <w:color w:val="auto"/>
          <w:highlight w:val="none"/>
        </w:rPr>
        <w:t>级滨海旅游区，打造一流滨海休闲度假胜地。加快推进国家运动休闲特色小镇、广州湾国际旅游城、南三岛湖村湾生态休闲旅游等项目建设，发展休闲游、亲子游、文化游、运动游、主题游等现代旅游产品</w:t>
      </w:r>
      <w:r>
        <w:rPr>
          <w:rFonts w:hint="eastAsia"/>
          <w:color w:val="auto"/>
          <w:highlight w:val="none"/>
          <w:lang w:eastAsia="zh-CN"/>
        </w:rPr>
        <w:t>，</w:t>
      </w:r>
      <w:r>
        <w:rPr>
          <w:color w:val="auto"/>
          <w:highlight w:val="none"/>
        </w:rPr>
        <w:t>实现旅游经济全产业链覆盖，推动生态旅游业高质量发展。配套建设民俗风情街、滨海度假村、滨海浴场、游泳俱乐部、旅游度假酒店等综合服务配套设施，着力打造一批特色鲜明的滨海旅游</w:t>
      </w:r>
      <w:r>
        <w:rPr>
          <w:rFonts w:hint="eastAsia"/>
          <w:color w:val="auto"/>
          <w:highlight w:val="none"/>
          <w:lang w:val="en-US" w:eastAsia="zh-CN"/>
        </w:rPr>
        <w:t>景</w:t>
      </w:r>
      <w:r>
        <w:rPr>
          <w:color w:val="auto"/>
          <w:highlight w:val="none"/>
        </w:rPr>
        <w:t>点和滨海风情旅游村。</w:t>
      </w:r>
    </w:p>
    <w:p>
      <w:pPr>
        <w:ind w:firstLine="0" w:firstLineChars="0"/>
        <w:rPr>
          <w:color w:val="auto"/>
          <w:highlight w:val="none"/>
        </w:rPr>
      </w:pPr>
      <w:r>
        <w:rPr>
          <w:color w:val="auto"/>
          <w:highlight w:val="none"/>
        </w:rPr>
        <w:drawing>
          <wp:inline distT="0" distB="0" distL="114300" distR="114300">
            <wp:extent cx="5828030" cy="3561080"/>
            <wp:effectExtent l="9525" t="9525" r="1079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828030" cy="35610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0" w:firstLineChars="0"/>
        <w:jc w:val="center"/>
        <w:rPr>
          <w:rFonts w:eastAsia="宋体"/>
          <w:b/>
          <w:bCs/>
          <w:color w:val="auto"/>
          <w:sz w:val="28"/>
          <w:szCs w:val="18"/>
          <w:highlight w:val="none"/>
        </w:rPr>
      </w:pPr>
      <w:r>
        <w:rPr>
          <w:rFonts w:eastAsia="宋体"/>
          <w:b/>
          <w:bCs/>
          <w:color w:val="auto"/>
          <w:sz w:val="28"/>
          <w:szCs w:val="18"/>
          <w:highlight w:val="none"/>
        </w:rPr>
        <w:t>图</w:t>
      </w:r>
      <w:r>
        <w:rPr>
          <w:rFonts w:hint="eastAsia" w:ascii="Times New Roman" w:hAnsi="Times New Roman" w:eastAsia="宋体"/>
          <w:b/>
          <w:bCs/>
          <w:color w:val="auto"/>
          <w:sz w:val="28"/>
          <w:szCs w:val="18"/>
          <w:highlight w:val="none"/>
          <w:lang w:eastAsia="zh-CN"/>
        </w:rPr>
        <w:t>4</w:t>
      </w:r>
      <w:r>
        <w:rPr>
          <w:rFonts w:eastAsia="宋体"/>
          <w:b/>
          <w:bCs/>
          <w:color w:val="auto"/>
          <w:sz w:val="28"/>
          <w:szCs w:val="18"/>
          <w:highlight w:val="none"/>
        </w:rPr>
        <w:t>-</w:t>
      </w:r>
      <w:r>
        <w:rPr>
          <w:rFonts w:hint="eastAsia" w:eastAsia="宋体"/>
          <w:b/>
          <w:bCs/>
          <w:color w:val="auto"/>
          <w:sz w:val="28"/>
          <w:szCs w:val="18"/>
          <w:highlight w:val="none"/>
          <w:lang w:val="en-US" w:eastAsia="zh-CN"/>
        </w:rPr>
        <w:t>1</w:t>
      </w:r>
      <w:r>
        <w:rPr>
          <w:rFonts w:hint="eastAsia" w:eastAsia="宋体"/>
          <w:b/>
          <w:bCs/>
          <w:color w:val="auto"/>
          <w:sz w:val="28"/>
          <w:szCs w:val="18"/>
          <w:highlight w:val="none"/>
        </w:rPr>
        <w:t xml:space="preserve">  </w:t>
      </w:r>
      <w:r>
        <w:rPr>
          <w:rFonts w:eastAsia="宋体"/>
          <w:b/>
          <w:bCs/>
          <w:color w:val="auto"/>
          <w:sz w:val="28"/>
          <w:szCs w:val="18"/>
          <w:highlight w:val="none"/>
        </w:rPr>
        <w:t>南三岛总体规划示意图</w:t>
      </w:r>
    </w:p>
    <w:p>
      <w:pPr>
        <w:pStyle w:val="5"/>
        <w:rPr>
          <w:color w:val="auto"/>
          <w:highlight w:val="none"/>
        </w:rPr>
      </w:pPr>
      <w:r>
        <w:rPr>
          <w:rFonts w:hint="eastAsia"/>
          <w:color w:val="auto"/>
          <w:highlight w:val="none"/>
          <w:lang w:val="en-US" w:eastAsia="zh-CN"/>
        </w:rPr>
        <w:t>三</w:t>
      </w:r>
      <w:r>
        <w:rPr>
          <w:color w:val="auto"/>
          <w:highlight w:val="none"/>
        </w:rPr>
        <w:t>、融合发展滨海乡村旅游</w:t>
      </w:r>
    </w:p>
    <w:p>
      <w:pPr>
        <w:ind w:firstLine="640"/>
        <w:rPr>
          <w:color w:val="auto"/>
          <w:highlight w:val="none"/>
        </w:rPr>
      </w:pPr>
      <w:r>
        <w:rPr>
          <w:color w:val="auto"/>
          <w:highlight w:val="none"/>
        </w:rPr>
        <w:t>充分发挥南三岛农村海岛风情、田园风光农家情趣和绿色食品等优势，积极发展观光农业型、游憩休闲型、特色农庄型、生态农业园区型、农产品集散型、特色旅游村镇型和民俗风情体验型、健康养生型等乡</w:t>
      </w:r>
      <w:r>
        <w:rPr>
          <w:rFonts w:hint="eastAsia"/>
          <w:color w:val="auto"/>
          <w:highlight w:val="none"/>
        </w:rPr>
        <w:t>（</w:t>
      </w:r>
      <w:r>
        <w:rPr>
          <w:color w:val="auto"/>
          <w:highlight w:val="none"/>
        </w:rPr>
        <w:t>渔</w:t>
      </w:r>
      <w:r>
        <w:rPr>
          <w:rFonts w:hint="eastAsia"/>
          <w:color w:val="auto"/>
          <w:highlight w:val="none"/>
        </w:rPr>
        <w:t>）</w:t>
      </w:r>
      <w:r>
        <w:rPr>
          <w:color w:val="auto"/>
          <w:highlight w:val="none"/>
        </w:rPr>
        <w:t>村旅游、农家乐、民宿产业，打造绿色生态环保的乡村生态旅游产业。利用规划建设环岛公路的契机，沿线打造乡村旅游景点景区。进一步优化旅游环境，完善旅游接待设施，与创建</w:t>
      </w:r>
      <w:r>
        <w:rPr>
          <w:rFonts w:hint="eastAsia" w:ascii="Times New Roman" w:hAnsi="Times New Roman"/>
          <w:color w:val="auto"/>
          <w:highlight w:val="none"/>
          <w:lang w:eastAsia="zh-CN"/>
        </w:rPr>
        <w:t>A</w:t>
      </w:r>
      <w:r>
        <w:rPr>
          <w:color w:val="auto"/>
          <w:highlight w:val="none"/>
        </w:rPr>
        <w:t>级景区、生态文明村、最美村庄、星级农家乐、特色乡村相结合，加强道路、旅馆、餐厅、通讯、厕所等基础设施建设。通过科学规划，构建品牌型、生态型的现代特色农业旅游新格局。</w:t>
      </w:r>
      <w:bookmarkStart w:id="127" w:name="_Toc32018"/>
      <w:bookmarkStart w:id="128" w:name="_Toc21727"/>
      <w:bookmarkStart w:id="129" w:name="_Toc4822"/>
      <w:bookmarkStart w:id="130" w:name="_Toc3925"/>
      <w:bookmarkStart w:id="131" w:name="_Toc16295"/>
    </w:p>
    <w:p>
      <w:pPr>
        <w:pStyle w:val="4"/>
        <w:spacing w:before="62" w:after="62"/>
        <w:ind w:firstLine="0"/>
        <w:jc w:val="center"/>
        <w:rPr>
          <w:rFonts w:hint="default" w:ascii="宋体" w:hAnsi="宋体"/>
          <w:color w:val="auto"/>
          <w:highlight w:val="none"/>
        </w:rPr>
      </w:pPr>
      <w:bookmarkStart w:id="132" w:name="_Toc53003170"/>
      <w:bookmarkStart w:id="133" w:name="_Toc15465"/>
      <w:r>
        <w:rPr>
          <w:rFonts w:hint="default" w:ascii="宋体" w:hAnsi="宋体"/>
          <w:color w:val="auto"/>
          <w:highlight w:val="none"/>
        </w:rPr>
        <w:t xml:space="preserve">第五节 </w:t>
      </w:r>
      <w:bookmarkEnd w:id="127"/>
      <w:bookmarkEnd w:id="128"/>
      <w:bookmarkEnd w:id="129"/>
      <w:bookmarkEnd w:id="130"/>
      <w:bookmarkEnd w:id="131"/>
      <w:bookmarkEnd w:id="132"/>
      <w:bookmarkStart w:id="134" w:name="_Toc23400"/>
      <w:bookmarkStart w:id="135" w:name="_Toc29543"/>
      <w:r>
        <w:rPr>
          <w:rFonts w:hint="default" w:ascii="宋体" w:hAnsi="宋体"/>
          <w:color w:val="auto"/>
          <w:highlight w:val="none"/>
        </w:rPr>
        <w:t>打造现代农业产业体系</w:t>
      </w:r>
      <w:bookmarkEnd w:id="133"/>
    </w:p>
    <w:bookmarkEnd w:id="134"/>
    <w:bookmarkEnd w:id="135"/>
    <w:p>
      <w:pPr>
        <w:bidi w:val="0"/>
        <w:rPr>
          <w:color w:val="auto"/>
          <w:highlight w:val="none"/>
        </w:rPr>
      </w:pPr>
      <w:r>
        <w:rPr>
          <w:rFonts w:hint="eastAsia"/>
          <w:color w:val="auto"/>
          <w:highlight w:val="none"/>
        </w:rPr>
        <w:t>深化农业供给侧结构性改革，推动农业发展提质增效，促进农村一二三产业融合发展，不断提高全区农业</w:t>
      </w:r>
      <w:r>
        <w:rPr>
          <w:rFonts w:hint="eastAsia"/>
          <w:color w:val="auto"/>
          <w:highlight w:val="none"/>
          <w:lang w:val="en-US" w:eastAsia="zh-CN"/>
        </w:rPr>
        <w:t>综合</w:t>
      </w:r>
      <w:r>
        <w:rPr>
          <w:rFonts w:hint="eastAsia"/>
          <w:color w:val="auto"/>
          <w:highlight w:val="none"/>
        </w:rPr>
        <w:t>竞争力，提升全区农业现代化发展水平。</w:t>
      </w:r>
    </w:p>
    <w:p>
      <w:pPr>
        <w:pStyle w:val="5"/>
        <w:rPr>
          <w:color w:val="auto"/>
          <w:highlight w:val="none"/>
        </w:rPr>
      </w:pPr>
      <w:r>
        <w:rPr>
          <w:color w:val="auto"/>
          <w:highlight w:val="none"/>
        </w:rPr>
        <w:t>一、推进特色农业高质量发展</w:t>
      </w:r>
    </w:p>
    <w:p>
      <w:pPr>
        <w:ind w:firstLine="640"/>
        <w:rPr>
          <w:color w:val="auto"/>
          <w:highlight w:val="none"/>
        </w:rPr>
      </w:pPr>
      <w:r>
        <w:rPr>
          <w:color w:val="auto"/>
          <w:highlight w:val="none"/>
        </w:rPr>
        <w:t xml:space="preserve">加强对特色农业产业的引导和扶持，形成一批规模化、专业化特色优势农业生产基地。在稳定粮食生产的基础上，大力发展南亚热带园艺业和畜牧业、水产业等具有较强竞争优势的特色效益农业。创建一批国家和省级健康养殖示范场，建设一批国家和省级良种场，引领全区水产养殖业的良种化、标准化和可持续发展；建设深水网箱养殖优势产业带，加快推进海洋牧场人工鱼礁项目申报和建设工作。 </w:t>
      </w:r>
    </w:p>
    <w:p>
      <w:pPr>
        <w:pStyle w:val="5"/>
        <w:rPr>
          <w:color w:val="auto"/>
          <w:highlight w:val="none"/>
        </w:rPr>
      </w:pPr>
      <w:r>
        <w:rPr>
          <w:color w:val="auto"/>
          <w:highlight w:val="none"/>
        </w:rPr>
        <w:t>二、推进现代农业产业园区建设</w:t>
      </w:r>
    </w:p>
    <w:p>
      <w:pPr>
        <w:ind w:firstLine="640"/>
        <w:rPr>
          <w:color w:val="auto"/>
          <w:highlight w:val="none"/>
        </w:rPr>
      </w:pPr>
      <w:r>
        <w:rPr>
          <w:color w:val="auto"/>
          <w:highlight w:val="none"/>
        </w:rPr>
        <w:t>按照</w:t>
      </w:r>
      <w:r>
        <w:rPr>
          <w:rFonts w:hint="eastAsia"/>
          <w:color w:val="auto"/>
          <w:highlight w:val="none"/>
        </w:rPr>
        <w:t>“</w:t>
      </w:r>
      <w:r>
        <w:rPr>
          <w:color w:val="auto"/>
          <w:highlight w:val="none"/>
        </w:rPr>
        <w:t>优种植+补流通+促融合+引科技+强品牌+重保障</w:t>
      </w:r>
      <w:r>
        <w:rPr>
          <w:rFonts w:hint="eastAsia"/>
          <w:color w:val="auto"/>
          <w:highlight w:val="none"/>
        </w:rPr>
        <w:t>”</w:t>
      </w:r>
      <w:r>
        <w:rPr>
          <w:color w:val="auto"/>
          <w:highlight w:val="none"/>
        </w:rPr>
        <w:t>六位一体的产业发展思路，建设</w:t>
      </w:r>
      <w:r>
        <w:rPr>
          <w:rFonts w:hint="eastAsia"/>
          <w:color w:val="auto"/>
          <w:highlight w:val="none"/>
          <w:lang w:val="en-US" w:eastAsia="zh-CN"/>
        </w:rPr>
        <w:t>一批</w:t>
      </w:r>
      <w:r>
        <w:rPr>
          <w:color w:val="auto"/>
          <w:highlight w:val="none"/>
        </w:rPr>
        <w:t>国家、省级现代农业产业园，形成政府引导、市场主导、企业运营、农民受益、共享发展的现代农业园区。推进国家现代农业产业园建设，</w:t>
      </w:r>
      <w:r>
        <w:rPr>
          <w:rFonts w:hint="eastAsia"/>
          <w:color w:val="auto"/>
          <w:highlight w:val="none"/>
          <w:lang w:val="en-US" w:eastAsia="zh-CN"/>
        </w:rPr>
        <w:t>推进南三岛农业智能现代化产业园建设，</w:t>
      </w:r>
      <w:r>
        <w:rPr>
          <w:color w:val="auto"/>
          <w:highlight w:val="none"/>
        </w:rPr>
        <w:t>做好对虾科技创新与成果转化工程</w:t>
      </w:r>
      <w:r>
        <w:rPr>
          <w:rFonts w:hint="eastAsia"/>
          <w:color w:val="auto"/>
          <w:highlight w:val="none"/>
          <w:lang w:val="en-US" w:eastAsia="zh-CN"/>
        </w:rPr>
        <w:t>和</w:t>
      </w:r>
      <w:r>
        <w:rPr>
          <w:color w:val="auto"/>
          <w:highlight w:val="none"/>
        </w:rPr>
        <w:t>智慧信息平台建设工程</w:t>
      </w:r>
      <w:r>
        <w:rPr>
          <w:rFonts w:hint="eastAsia"/>
          <w:color w:val="auto"/>
          <w:highlight w:val="none"/>
          <w:lang w:eastAsia="zh-CN"/>
        </w:rPr>
        <w:t>，</w:t>
      </w:r>
      <w:r>
        <w:rPr>
          <w:rFonts w:hint="eastAsia"/>
          <w:color w:val="auto"/>
          <w:highlight w:val="none"/>
          <w:lang w:val="en-US" w:eastAsia="zh-CN"/>
        </w:rPr>
        <w:t>推进</w:t>
      </w:r>
      <w:r>
        <w:rPr>
          <w:color w:val="auto"/>
          <w:highlight w:val="none"/>
        </w:rPr>
        <w:t>新型经营主体培育提升工程、对虾品牌培育及提升工程，</w:t>
      </w:r>
      <w:r>
        <w:rPr>
          <w:rFonts w:hint="eastAsia"/>
          <w:color w:val="auto"/>
          <w:highlight w:val="none"/>
          <w:lang w:val="en-US" w:eastAsia="zh-CN"/>
        </w:rPr>
        <w:t>推动</w:t>
      </w:r>
      <w:r>
        <w:rPr>
          <w:color w:val="auto"/>
          <w:highlight w:val="none"/>
        </w:rPr>
        <w:t>省级莲藕</w:t>
      </w:r>
      <w:r>
        <w:rPr>
          <w:rFonts w:hint="eastAsia"/>
          <w:color w:val="auto"/>
          <w:highlight w:val="none"/>
        </w:rPr>
        <w:t>、葡萄</w:t>
      </w:r>
      <w:r>
        <w:rPr>
          <w:color w:val="auto"/>
          <w:highlight w:val="none"/>
        </w:rPr>
        <w:t>现代农业产业园建设。</w:t>
      </w:r>
    </w:p>
    <w:p>
      <w:pPr>
        <w:pStyle w:val="5"/>
        <w:rPr>
          <w:color w:val="auto"/>
          <w:highlight w:val="none"/>
        </w:rPr>
      </w:pPr>
      <w:r>
        <w:rPr>
          <w:color w:val="auto"/>
          <w:highlight w:val="none"/>
        </w:rPr>
        <w:t>三、大力发展农产品加工流通业</w:t>
      </w:r>
    </w:p>
    <w:p>
      <w:pPr>
        <w:ind w:firstLine="640"/>
        <w:rPr>
          <w:color w:val="auto"/>
          <w:highlight w:val="none"/>
        </w:rPr>
      </w:pPr>
      <w:r>
        <w:rPr>
          <w:color w:val="auto"/>
          <w:highlight w:val="none"/>
        </w:rPr>
        <w:t>制定完善农产品生产、加工技术标准和工作规程，促进与国际全面接轨，大力发展绿色食品、有机农产品</w:t>
      </w:r>
      <w:r>
        <w:rPr>
          <w:rFonts w:hint="eastAsia"/>
          <w:color w:val="auto"/>
          <w:highlight w:val="none"/>
          <w:lang w:eastAsia="zh-CN"/>
        </w:rPr>
        <w:t>，</w:t>
      </w:r>
      <w:r>
        <w:rPr>
          <w:rFonts w:hint="eastAsia"/>
          <w:color w:val="auto"/>
          <w:highlight w:val="none"/>
          <w:lang w:val="en-US" w:eastAsia="zh-CN"/>
        </w:rPr>
        <w:t>培育“湛江乾塘莲藕”“湛江坡头南三青蟹”“湛江坡头官渡蚝”等农产品</w:t>
      </w:r>
      <w:r>
        <w:rPr>
          <w:color w:val="auto"/>
          <w:highlight w:val="none"/>
        </w:rPr>
        <w:t>地理标志产品；建设加工流通产业集群，提高农产品加工转化率；完善农产品市场流通体系，大力发展农产品冷链物流业。</w:t>
      </w:r>
    </w:p>
    <w:p>
      <w:pPr>
        <w:pStyle w:val="5"/>
        <w:rPr>
          <w:color w:val="auto"/>
          <w:highlight w:val="none"/>
        </w:rPr>
      </w:pPr>
      <w:r>
        <w:rPr>
          <w:color w:val="auto"/>
          <w:highlight w:val="none"/>
        </w:rPr>
        <w:t>四、深入推进一二三产业融合发展</w:t>
      </w:r>
    </w:p>
    <w:p>
      <w:pPr>
        <w:ind w:firstLine="640"/>
        <w:rPr>
          <w:color w:val="auto"/>
          <w:highlight w:val="none"/>
        </w:rPr>
      </w:pPr>
      <w:r>
        <w:rPr>
          <w:color w:val="auto"/>
          <w:highlight w:val="none"/>
        </w:rPr>
        <w:t>加快农村一二三产业融合发展，科学叠加农业生产、休闲旅游、文化体验、公共服务等功能，利用</w:t>
      </w:r>
      <w:r>
        <w:rPr>
          <w:rFonts w:hint="eastAsia"/>
          <w:color w:val="auto"/>
          <w:highlight w:val="none"/>
        </w:rPr>
        <w:t>“</w:t>
      </w:r>
      <w:r>
        <w:rPr>
          <w:color w:val="auto"/>
          <w:highlight w:val="none"/>
        </w:rPr>
        <w:t>农业+旅游</w:t>
      </w:r>
      <w:r>
        <w:rPr>
          <w:rFonts w:hint="eastAsia"/>
          <w:color w:val="auto"/>
          <w:highlight w:val="none"/>
        </w:rPr>
        <w:t>”“</w:t>
      </w:r>
      <w:r>
        <w:rPr>
          <w:color w:val="auto"/>
          <w:highlight w:val="none"/>
        </w:rPr>
        <w:t>生态+农业</w:t>
      </w:r>
      <w:r>
        <w:rPr>
          <w:rFonts w:hint="eastAsia"/>
          <w:color w:val="auto"/>
          <w:highlight w:val="none"/>
        </w:rPr>
        <w:t>”“</w:t>
      </w:r>
      <w:r>
        <w:rPr>
          <w:color w:val="auto"/>
          <w:highlight w:val="none"/>
        </w:rPr>
        <w:t>农业+科技</w:t>
      </w:r>
      <w:r>
        <w:rPr>
          <w:rFonts w:hint="eastAsia"/>
          <w:color w:val="auto"/>
          <w:highlight w:val="none"/>
        </w:rPr>
        <w:t>”</w:t>
      </w:r>
      <w:r>
        <w:rPr>
          <w:color w:val="auto"/>
          <w:highlight w:val="none"/>
        </w:rPr>
        <w:t>等多种模式，大力发展一批休闲农业与乡村旅游示范点示范镇等田园综合体。推动乾塘莲藕、坡头阳光玫瑰生态园、现代农业产业园等一批农业主体的一二三产业融合发展建设。大力发展</w:t>
      </w:r>
      <w:r>
        <w:rPr>
          <w:rFonts w:hint="eastAsia"/>
          <w:color w:val="auto"/>
          <w:highlight w:val="none"/>
          <w:lang w:val="en-US" w:eastAsia="zh-CN"/>
        </w:rPr>
        <w:t>休闲</w:t>
      </w:r>
      <w:r>
        <w:rPr>
          <w:color w:val="auto"/>
          <w:highlight w:val="none"/>
        </w:rPr>
        <w:t>渔业，推进传统养殖业与旅游、餐饮等相结合。</w:t>
      </w:r>
      <w:bookmarkStart w:id="136" w:name="_Toc11064"/>
      <w:bookmarkStart w:id="137" w:name="_Toc29390"/>
      <w:bookmarkStart w:id="138" w:name="_Toc14005"/>
      <w:bookmarkStart w:id="139" w:name="_Toc29836"/>
      <w:bookmarkStart w:id="140" w:name="_Toc22355"/>
    </w:p>
    <w:p>
      <w:pPr>
        <w:pStyle w:val="4"/>
        <w:spacing w:before="62" w:after="62"/>
        <w:ind w:firstLine="0"/>
        <w:jc w:val="center"/>
        <w:rPr>
          <w:rFonts w:hint="default" w:ascii="宋体" w:hAnsi="宋体"/>
          <w:color w:val="auto"/>
          <w:highlight w:val="none"/>
        </w:rPr>
      </w:pPr>
      <w:bookmarkStart w:id="141" w:name="_Toc53003171"/>
      <w:bookmarkStart w:id="142" w:name="_Toc24424"/>
      <w:r>
        <w:rPr>
          <w:rFonts w:hint="default" w:ascii="宋体" w:hAnsi="宋体"/>
          <w:color w:val="auto"/>
          <w:highlight w:val="none"/>
        </w:rPr>
        <w:t>第六节 优化产业空间布局和载体建设</w:t>
      </w:r>
      <w:bookmarkEnd w:id="141"/>
      <w:bookmarkEnd w:id="142"/>
    </w:p>
    <w:p>
      <w:pPr>
        <w:ind w:firstLine="640"/>
      </w:pPr>
      <w:r>
        <w:rPr>
          <w:color w:val="auto"/>
          <w:highlight w:val="none"/>
        </w:rPr>
        <w:t>以</w:t>
      </w:r>
      <w:r>
        <w:rPr>
          <w:rFonts w:hint="eastAsia"/>
          <w:color w:val="auto"/>
          <w:highlight w:val="none"/>
        </w:rPr>
        <w:t>“</w:t>
      </w:r>
      <w:r>
        <w:rPr>
          <w:color w:val="auto"/>
          <w:highlight w:val="none"/>
        </w:rPr>
        <w:t>四区合一</w:t>
      </w:r>
      <w:r>
        <w:rPr>
          <w:rFonts w:hint="eastAsia"/>
          <w:color w:val="auto"/>
          <w:highlight w:val="none"/>
        </w:rPr>
        <w:t>”</w:t>
      </w:r>
      <w:r>
        <w:rPr>
          <w:color w:val="auto"/>
          <w:highlight w:val="none"/>
        </w:rPr>
        <w:t>为抓手，</w:t>
      </w:r>
      <w:r>
        <w:rPr>
          <w:rFonts w:hint="eastAsia"/>
          <w:color w:val="auto"/>
          <w:highlight w:val="none"/>
        </w:rPr>
        <w:t>落实新一轮国土空间规划，</w:t>
      </w:r>
      <w:r>
        <w:rPr>
          <w:color w:val="auto"/>
          <w:highlight w:val="none"/>
        </w:rPr>
        <w:t>进一步推动海东新区提质扩容，聚力打造湛江国家级高新区，深入开发南三岛旅游资源，盘活产业园区要素，</w:t>
      </w:r>
      <w:r>
        <w:rPr>
          <w:rFonts w:hint="eastAsia"/>
          <w:color w:val="auto"/>
          <w:highlight w:val="none"/>
          <w:lang w:val="en-US" w:eastAsia="zh-CN"/>
        </w:rPr>
        <w:t>促进坡头经济高质量发展</w:t>
      </w:r>
      <w:r>
        <w:rPr>
          <w:color w:val="auto"/>
          <w:highlight w:val="none"/>
        </w:rPr>
        <w:t>。</w:t>
      </w:r>
    </w:p>
    <w:p>
      <w:pPr>
        <w:pStyle w:val="5"/>
        <w:rPr>
          <w:color w:val="auto"/>
          <w:highlight w:val="none"/>
        </w:rPr>
      </w:pPr>
      <w:r>
        <w:rPr>
          <w:color w:val="auto"/>
          <w:highlight w:val="none"/>
        </w:rPr>
        <w:t>一、优化</w:t>
      </w:r>
      <w:r>
        <w:rPr>
          <w:rFonts w:hint="eastAsia"/>
          <w:color w:val="auto"/>
          <w:highlight w:val="none"/>
          <w:lang w:val="en-US" w:eastAsia="zh-CN"/>
        </w:rPr>
        <w:t>产业</w:t>
      </w:r>
      <w:r>
        <w:rPr>
          <w:color w:val="auto"/>
          <w:highlight w:val="none"/>
        </w:rPr>
        <w:t>布局</w:t>
      </w:r>
    </w:p>
    <w:p>
      <w:pPr>
        <w:ind w:firstLine="640"/>
        <w:rPr>
          <w:color w:val="auto"/>
          <w:highlight w:val="none"/>
        </w:rPr>
      </w:pPr>
      <w:r>
        <w:rPr>
          <w:color w:val="auto"/>
          <w:highlight w:val="none"/>
        </w:rPr>
        <w:t>围绕湛江高新区海东园区</w:t>
      </w:r>
      <w:r>
        <w:rPr>
          <w:rFonts w:hint="eastAsia"/>
          <w:color w:val="auto"/>
          <w:highlight w:val="none"/>
        </w:rPr>
        <w:t>“</w:t>
      </w:r>
      <w:r>
        <w:rPr>
          <w:color w:val="auto"/>
          <w:highlight w:val="none"/>
        </w:rPr>
        <w:t>广东省海洋科技的创新策源地</w:t>
      </w:r>
      <w:r>
        <w:rPr>
          <w:rFonts w:hint="eastAsia"/>
          <w:color w:val="auto"/>
          <w:highlight w:val="none"/>
        </w:rPr>
        <w:t>”“</w:t>
      </w:r>
      <w:r>
        <w:rPr>
          <w:color w:val="auto"/>
          <w:highlight w:val="none"/>
        </w:rPr>
        <w:t>湛江市高新技术产业研发中心</w:t>
      </w:r>
      <w:r>
        <w:rPr>
          <w:rFonts w:hint="eastAsia"/>
          <w:color w:val="auto"/>
          <w:highlight w:val="none"/>
        </w:rPr>
        <w:t>”</w:t>
      </w:r>
      <w:r>
        <w:rPr>
          <w:color w:val="auto"/>
          <w:highlight w:val="none"/>
        </w:rPr>
        <w:t>的战略定位，着力打造</w:t>
      </w:r>
      <w:r>
        <w:rPr>
          <w:rFonts w:hint="eastAsia"/>
          <w:color w:val="auto"/>
          <w:highlight w:val="none"/>
        </w:rPr>
        <w:t>国家沿海经济带先行区科创中心</w:t>
      </w:r>
      <w:r>
        <w:rPr>
          <w:color w:val="auto"/>
          <w:highlight w:val="none"/>
        </w:rPr>
        <w:t>，形成</w:t>
      </w:r>
      <w:r>
        <w:rPr>
          <w:rFonts w:hint="eastAsia"/>
          <w:color w:val="auto"/>
          <w:highlight w:val="none"/>
        </w:rPr>
        <w:t>“</w:t>
      </w:r>
      <w:r>
        <w:rPr>
          <w:color w:val="auto"/>
          <w:highlight w:val="none"/>
        </w:rPr>
        <w:t>一核三区，一轴多廊</w:t>
      </w:r>
      <w:r>
        <w:rPr>
          <w:rFonts w:hint="eastAsia"/>
          <w:color w:val="auto"/>
          <w:highlight w:val="none"/>
        </w:rPr>
        <w:t>”</w:t>
      </w:r>
      <w:r>
        <w:rPr>
          <w:color w:val="auto"/>
          <w:highlight w:val="none"/>
        </w:rPr>
        <w:t>的发展结构。推进园区道路、供水、供电、污水处理、海堤防护等基础设施建设，</w:t>
      </w:r>
      <w:r>
        <w:rPr>
          <w:rFonts w:hint="eastAsia"/>
          <w:color w:val="auto"/>
          <w:highlight w:val="none"/>
          <w:lang w:val="en-US" w:eastAsia="zh-CN"/>
        </w:rPr>
        <w:t>加快</w:t>
      </w:r>
      <w:r>
        <w:rPr>
          <w:color w:val="auto"/>
          <w:highlight w:val="none"/>
        </w:rPr>
        <w:t>湛江湾实验室建设，</w:t>
      </w:r>
      <w:r>
        <w:rPr>
          <w:rFonts w:hint="eastAsia"/>
          <w:color w:val="auto"/>
          <w:highlight w:val="none"/>
          <w:lang w:val="en-US" w:eastAsia="zh-CN"/>
        </w:rPr>
        <w:t>着力</w:t>
      </w:r>
      <w:r>
        <w:rPr>
          <w:color w:val="auto"/>
          <w:highlight w:val="none"/>
        </w:rPr>
        <w:t>推进广东医科大学新校区建设。积极支持服务好南油发展高新技术产业，力促高新区项目招大引强达优。</w:t>
      </w:r>
    </w:p>
    <w:p>
      <w:pPr>
        <w:pStyle w:val="5"/>
        <w:rPr>
          <w:color w:val="auto"/>
          <w:highlight w:val="none"/>
        </w:rPr>
      </w:pPr>
      <w:r>
        <w:rPr>
          <w:color w:val="auto"/>
          <w:highlight w:val="none"/>
        </w:rPr>
        <w:t>二、完善载体功能建设</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color w:val="auto"/>
          <w:highlight w:val="none"/>
        </w:rPr>
      </w:pPr>
      <w:r>
        <w:rPr>
          <w:rFonts w:hint="eastAsia"/>
          <w:b/>
          <w:bCs/>
          <w:color w:val="auto"/>
          <w:highlight w:val="none"/>
          <w:lang w:val="en-US" w:eastAsia="zh-CN"/>
        </w:rPr>
        <w:t>提质发展</w:t>
      </w:r>
      <w:r>
        <w:rPr>
          <w:b/>
          <w:bCs/>
          <w:color w:val="auto"/>
          <w:highlight w:val="none"/>
        </w:rPr>
        <w:t>海东新区</w:t>
      </w:r>
      <w:r>
        <w:rPr>
          <w:rFonts w:hint="eastAsia"/>
          <w:b/>
          <w:bCs/>
          <w:color w:val="auto"/>
          <w:highlight w:val="none"/>
        </w:rPr>
        <w:t>。</w:t>
      </w:r>
      <w:r>
        <w:rPr>
          <w:rFonts w:hint="eastAsia"/>
          <w:color w:val="auto"/>
          <w:highlight w:val="none"/>
        </w:rPr>
        <w:t>按照</w:t>
      </w:r>
      <w:r>
        <w:rPr>
          <w:rFonts w:hint="eastAsia"/>
          <w:b w:val="0"/>
          <w:bCs w:val="0"/>
          <w:color w:val="auto"/>
          <w:highlight w:val="none"/>
        </w:rPr>
        <w:t>“空间规划、基础设施、高新产业、生活保护、营商环境”</w:t>
      </w:r>
      <w:r>
        <w:rPr>
          <w:rFonts w:hint="eastAsia"/>
          <w:color w:val="auto"/>
          <w:highlight w:val="none"/>
        </w:rPr>
        <w:t>五个先行发展理念，</w:t>
      </w:r>
      <w:r>
        <w:rPr>
          <w:color w:val="auto"/>
          <w:highlight w:val="none"/>
        </w:rPr>
        <w:t>围绕现代城市、创新经济的全球发展潮流，建设</w:t>
      </w:r>
      <w:r>
        <w:rPr>
          <w:rFonts w:hint="eastAsia"/>
          <w:color w:val="auto"/>
          <w:highlight w:val="none"/>
        </w:rPr>
        <w:t>“</w:t>
      </w:r>
      <w:r>
        <w:rPr>
          <w:color w:val="auto"/>
          <w:highlight w:val="none"/>
        </w:rPr>
        <w:t>高质量发展、高品质生活</w:t>
      </w:r>
      <w:r>
        <w:rPr>
          <w:rFonts w:hint="eastAsia"/>
          <w:color w:val="auto"/>
          <w:highlight w:val="none"/>
        </w:rPr>
        <w:t>”</w:t>
      </w:r>
      <w:r>
        <w:rPr>
          <w:color w:val="auto"/>
          <w:highlight w:val="none"/>
        </w:rPr>
        <w:t>的创新型城区，推进总部经济区建设，打造形成科技创新与专类服务、信息服务和会展交流服务三类特色公共服务设施，促进高等级产业集聚。打造科技创新中心，重点发展创意设计中心、工业设计中心、媒体服务、专业培训、技术研发、中介服务、产品检测、品牌策划、法律咨询等。推进信息服务产业发展，重点发展信息内容公服、软件与信息技术服务、信息传输服务业等。推进建设国际会展中心，重点打造会议展示中心、贸易采购中心、粤西商贸交易市场等。建设</w:t>
      </w:r>
      <w:r>
        <w:rPr>
          <w:rFonts w:hint="eastAsia"/>
          <w:color w:val="auto"/>
          <w:highlight w:val="none"/>
        </w:rPr>
        <w:t>“</w:t>
      </w:r>
      <w:r>
        <w:rPr>
          <w:color w:val="auto"/>
          <w:highlight w:val="none"/>
        </w:rPr>
        <w:t>高品质生活</w:t>
      </w:r>
      <w:r>
        <w:rPr>
          <w:rFonts w:hint="eastAsia"/>
          <w:color w:val="auto"/>
          <w:highlight w:val="none"/>
        </w:rPr>
        <w:t>”</w:t>
      </w:r>
      <w:r>
        <w:rPr>
          <w:color w:val="auto"/>
          <w:highlight w:val="none"/>
        </w:rPr>
        <w:t>的创新型城区，强化生态可持续发展，</w:t>
      </w:r>
      <w:r>
        <w:rPr>
          <w:rFonts w:hint="eastAsia"/>
          <w:color w:val="auto"/>
          <w:highlight w:val="none"/>
          <w:lang w:val="en-US" w:eastAsia="zh-CN"/>
        </w:rPr>
        <w:t>重点</w:t>
      </w:r>
      <w:r>
        <w:rPr>
          <w:color w:val="auto"/>
          <w:highlight w:val="none"/>
        </w:rPr>
        <w:t>开发别墅、高级公寓等多层次的居住生活空间。</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color w:val="auto"/>
          <w:szCs w:val="22"/>
          <w:highlight w:val="none"/>
        </w:rPr>
      </w:pPr>
      <w:r>
        <w:rPr>
          <w:rFonts w:hint="eastAsia"/>
          <w:color w:val="auto"/>
          <w:highlight w:val="none"/>
        </w:rPr>
        <w:t>提升“学位”“床位”</w:t>
      </w:r>
      <w:r>
        <w:rPr>
          <w:rFonts w:hint="eastAsia"/>
          <w:color w:val="auto"/>
          <w:highlight w:val="none"/>
          <w:lang w:val="en-US" w:eastAsia="zh-CN"/>
        </w:rPr>
        <w:t>供给能力</w:t>
      </w:r>
      <w:r>
        <w:rPr>
          <w:rFonts w:hint="eastAsia"/>
          <w:color w:val="auto"/>
          <w:highlight w:val="none"/>
        </w:rPr>
        <w:t>，</w:t>
      </w:r>
      <w:r>
        <w:rPr>
          <w:color w:val="auto"/>
          <w:highlight w:val="none"/>
        </w:rPr>
        <w:t>为产业园建设和</w:t>
      </w:r>
      <w:r>
        <w:rPr>
          <w:rFonts w:hint="eastAsia"/>
          <w:color w:val="auto"/>
          <w:highlight w:val="none"/>
          <w:lang w:val="en-US" w:eastAsia="zh-CN"/>
        </w:rPr>
        <w:t>宝钢、</w:t>
      </w:r>
      <w:r>
        <w:rPr>
          <w:color w:val="auto"/>
          <w:highlight w:val="none"/>
        </w:rPr>
        <w:t>中科炼化、巴斯夫等大型龙头企业提供优良的生活环境，为创造国内领先的高技术园区提供优越条件。</w:t>
      </w:r>
      <w:r>
        <w:rPr>
          <w:rFonts w:hint="eastAsia"/>
          <w:color w:val="auto"/>
          <w:highlight w:val="none"/>
        </w:rPr>
        <w:t>依托</w:t>
      </w:r>
      <w:r>
        <w:rPr>
          <w:color w:val="auto"/>
          <w:szCs w:val="22"/>
          <w:highlight w:val="none"/>
        </w:rPr>
        <w:t>奥林匹克体育中心</w:t>
      </w:r>
      <w:r>
        <w:rPr>
          <w:rFonts w:hint="eastAsia"/>
          <w:color w:val="auto"/>
          <w:szCs w:val="22"/>
          <w:highlight w:val="none"/>
        </w:rPr>
        <w:t>，</w:t>
      </w:r>
      <w:r>
        <w:rPr>
          <w:color w:val="auto"/>
          <w:szCs w:val="22"/>
          <w:highlight w:val="none"/>
        </w:rPr>
        <w:t>发展</w:t>
      </w:r>
      <w:r>
        <w:rPr>
          <w:rFonts w:hint="eastAsia"/>
          <w:color w:val="auto"/>
          <w:szCs w:val="22"/>
          <w:highlight w:val="none"/>
        </w:rPr>
        <w:t>集</w:t>
      </w:r>
      <w:r>
        <w:rPr>
          <w:color w:val="auto"/>
          <w:szCs w:val="22"/>
          <w:highlight w:val="none"/>
        </w:rPr>
        <w:t>健身、休闲、餐饮大众休闲体育休闲产业</w:t>
      </w:r>
      <w:r>
        <w:rPr>
          <w:rFonts w:hint="eastAsia"/>
          <w:color w:val="auto"/>
          <w:szCs w:val="22"/>
          <w:highlight w:val="none"/>
        </w:rPr>
        <w:t>，</w:t>
      </w:r>
      <w:r>
        <w:rPr>
          <w:color w:val="auto"/>
          <w:szCs w:val="22"/>
          <w:highlight w:val="none"/>
        </w:rPr>
        <w:t>增设沙滩广场及海滨浴场提升城市活力。在起步区布局游艇会、滨海步道</w:t>
      </w:r>
      <w:r>
        <w:rPr>
          <w:rFonts w:hint="eastAsia"/>
          <w:color w:val="auto"/>
          <w:szCs w:val="22"/>
          <w:highlight w:val="none"/>
        </w:rPr>
        <w:t>，</w:t>
      </w:r>
      <w:r>
        <w:rPr>
          <w:color w:val="auto"/>
          <w:szCs w:val="22"/>
          <w:highlight w:val="none"/>
        </w:rPr>
        <w:t>积极开发滨海旅游资源。</w:t>
      </w:r>
      <w:r>
        <w:rPr>
          <w:rFonts w:hint="eastAsia"/>
          <w:color w:val="auto"/>
          <w:szCs w:val="22"/>
          <w:highlight w:val="none"/>
        </w:rPr>
        <w:t>以海军主题公园为载体，打造集滨海旅游、科普和国防教育、海上运动为一体的旅游产业。沿龙王围岸线建设城市丰富的生态水乡建筑群，在南调河区域打造湛江特色的水乡风情街区，打造成独一无二的魅力湾区。继续发挥海东新区国际合作重要门户、国家海洋战略重大平台、大西南出海主通道服务基地作用，打造成为粤西中心城市新兴载体、南亚热带生态海湾新城。</w:t>
      </w:r>
    </w:p>
    <w:p>
      <w:pPr>
        <w:pStyle w:val="2"/>
        <w:ind w:left="0" w:leftChars="0" w:firstLine="0" w:firstLineChars="0"/>
        <w:jc w:val="center"/>
        <w:rPr>
          <w:rFonts w:eastAsia="宋体"/>
          <w:b/>
          <w:bCs/>
          <w:color w:val="auto"/>
          <w:sz w:val="28"/>
          <w:szCs w:val="18"/>
          <w:highlight w:val="none"/>
        </w:rPr>
      </w:pPr>
      <w:r>
        <w:rPr>
          <w:color w:val="auto"/>
          <w:highlight w:val="none"/>
        </w:rPr>
        <w:drawing>
          <wp:anchor distT="0" distB="0" distL="114300" distR="114300" simplePos="0" relativeHeight="251660288" behindDoc="0" locked="0" layoutInCell="1" allowOverlap="1">
            <wp:simplePos x="0" y="0"/>
            <wp:positionH relativeFrom="column">
              <wp:posOffset>0</wp:posOffset>
            </wp:positionH>
            <wp:positionV relativeFrom="paragraph">
              <wp:posOffset>257810</wp:posOffset>
            </wp:positionV>
            <wp:extent cx="5288915" cy="3002280"/>
            <wp:effectExtent l="9525" t="9525" r="16510" b="1714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288915" cy="300228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eastAsia="宋体"/>
          <w:b/>
          <w:bCs/>
          <w:color w:val="auto"/>
          <w:sz w:val="28"/>
          <w:szCs w:val="18"/>
          <w:highlight w:val="none"/>
        </w:rPr>
        <w:t>图</w:t>
      </w:r>
      <w:r>
        <w:rPr>
          <w:rFonts w:hint="eastAsia" w:ascii="Times New Roman" w:hAnsi="Times New Roman" w:eastAsia="宋体"/>
          <w:b/>
          <w:bCs/>
          <w:color w:val="auto"/>
          <w:sz w:val="28"/>
          <w:szCs w:val="18"/>
          <w:highlight w:val="none"/>
          <w:lang w:eastAsia="zh-CN"/>
        </w:rPr>
        <w:t>4</w:t>
      </w:r>
      <w:r>
        <w:rPr>
          <w:rFonts w:hint="eastAsia" w:eastAsia="宋体"/>
          <w:b/>
          <w:bCs/>
          <w:color w:val="auto"/>
          <w:sz w:val="28"/>
          <w:szCs w:val="18"/>
          <w:highlight w:val="none"/>
        </w:rPr>
        <w:t>-</w:t>
      </w:r>
      <w:r>
        <w:rPr>
          <w:rFonts w:hint="eastAsia" w:ascii="Times New Roman" w:hAnsi="Times New Roman" w:eastAsia="宋体"/>
          <w:b/>
          <w:bCs/>
          <w:color w:val="auto"/>
          <w:sz w:val="28"/>
          <w:szCs w:val="18"/>
          <w:highlight w:val="none"/>
          <w:lang w:val="en-US" w:eastAsia="zh-CN"/>
        </w:rPr>
        <w:t>2</w:t>
      </w:r>
      <w:r>
        <w:rPr>
          <w:rFonts w:hint="eastAsia" w:eastAsia="宋体"/>
          <w:b/>
          <w:bCs/>
          <w:color w:val="auto"/>
          <w:sz w:val="28"/>
          <w:szCs w:val="18"/>
          <w:highlight w:val="none"/>
        </w:rPr>
        <w:t xml:space="preserve">  </w:t>
      </w:r>
      <w:r>
        <w:rPr>
          <w:rFonts w:eastAsia="宋体"/>
          <w:b/>
          <w:bCs/>
          <w:color w:val="auto"/>
          <w:sz w:val="28"/>
          <w:szCs w:val="18"/>
          <w:highlight w:val="none"/>
        </w:rPr>
        <w:t>海东新区总体规划示意图</w:t>
      </w:r>
    </w:p>
    <w:p/>
    <w:p>
      <w:pPr>
        <w:rPr>
          <w:b/>
          <w:bCs/>
          <w:color w:val="auto"/>
          <w:highlight w:val="none"/>
        </w:rPr>
      </w:pPr>
      <w:r>
        <w:rPr>
          <w:rFonts w:hint="eastAsia"/>
          <w:b/>
          <w:bCs/>
          <w:color w:val="auto"/>
          <w:highlight w:val="none"/>
          <w:lang w:val="en-US" w:eastAsia="zh-CN"/>
        </w:rPr>
        <w:t>转型升级区科技产业园。</w:t>
      </w:r>
      <w:r>
        <w:rPr>
          <w:rFonts w:hint="eastAsia"/>
          <w:b w:val="0"/>
          <w:bCs w:val="0"/>
          <w:color w:val="auto"/>
          <w:highlight w:val="none"/>
          <w:lang w:val="en-US" w:eastAsia="zh-CN"/>
        </w:rPr>
        <w:t>推动科技产业园扩容增效，推进区科技产业园与高新区无缝对接，培育发展高新企业，打造上下游相互配套、分工专业、链条完整的集约型、绿色、能源可循环友好型科技产业园。推进科技产业园与高新区无缝对接，鼓励工业园企业开展数字化、智能化、绿色化改造升级，提升工业互联网技术应用水平，引导传统工业产业向高附加值、高新技术产业转型。聚力提升</w:t>
      </w:r>
      <w:r>
        <w:rPr>
          <w:b w:val="0"/>
          <w:bCs w:val="0"/>
          <w:color w:val="auto"/>
          <w:highlight w:val="none"/>
        </w:rPr>
        <w:t>龙头工业园</w:t>
      </w:r>
      <w:r>
        <w:rPr>
          <w:rFonts w:hint="eastAsia"/>
          <w:b w:val="0"/>
          <w:bCs w:val="0"/>
          <w:color w:val="auto"/>
          <w:highlight w:val="none"/>
        </w:rPr>
        <w:t>。</w:t>
      </w:r>
      <w:r>
        <w:rPr>
          <w:color w:val="auto"/>
          <w:highlight w:val="none"/>
        </w:rPr>
        <w:t>依托坡头区农海产品资源优势及湛江坡头产业转移工业园传统产业的基础优势，加快农海产（食）品加工产业集群发展和优化升级，重点发展具有高附加值的农海产（食）品精深加工业、水产饲料与食品冷链物流配送等现代化生产服务业。围绕坡头产业园区的发展方向，主动服务传统产业的升级改造及新兴产业的快速发展，布局科技信息产业，重点发展海洋电子信息、软件开发、科技服务等业态。积极引进一批科技信息技术类企业，形成集聚化发展，加大高新技术研发力度，为坡头产业园区的发展持续不断输出动力。</w:t>
      </w:r>
    </w:p>
    <w:p>
      <w:pPr>
        <w:ind w:left="0" w:leftChars="0" w:firstLine="0" w:firstLineChars="0"/>
        <w:rPr>
          <w:color w:val="auto"/>
          <w:highlight w:val="none"/>
        </w:rPr>
      </w:pPr>
      <w:r>
        <w:rPr>
          <w:color w:val="auto"/>
          <w:highlight w:val="none"/>
        </w:rPr>
        <w:drawing>
          <wp:inline distT="0" distB="0" distL="114300" distR="114300">
            <wp:extent cx="5271770" cy="5390515"/>
            <wp:effectExtent l="9525" t="9525" r="1460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1770" cy="5390515"/>
                    </a:xfrm>
                    <a:prstGeom prst="rect">
                      <a:avLst/>
                    </a:prstGeom>
                    <a:noFill/>
                    <a:ln>
                      <a:solidFill>
                        <a:schemeClr val="tx1">
                          <a:lumMod val="95000"/>
                          <a:lumOff val="5000"/>
                        </a:schemeClr>
                      </a:solidFill>
                    </a:ln>
                  </pic:spPr>
                </pic:pic>
              </a:graphicData>
            </a:graphic>
          </wp:inline>
        </w:drawing>
      </w:r>
    </w:p>
    <w:p>
      <w:pPr>
        <w:ind w:firstLine="0" w:firstLineChars="0"/>
        <w:jc w:val="center"/>
        <w:rPr>
          <w:rFonts w:hint="eastAsia" w:eastAsia="宋体"/>
          <w:b/>
          <w:bCs/>
          <w:color w:val="auto"/>
          <w:sz w:val="28"/>
          <w:szCs w:val="18"/>
          <w:highlight w:val="none"/>
          <w:lang w:eastAsia="zh-CN"/>
        </w:rPr>
      </w:pPr>
      <w:r>
        <w:rPr>
          <w:rFonts w:eastAsia="宋体"/>
          <w:b/>
          <w:bCs/>
          <w:color w:val="auto"/>
          <w:sz w:val="28"/>
          <w:szCs w:val="18"/>
          <w:highlight w:val="none"/>
        </w:rPr>
        <w:t>图</w:t>
      </w:r>
      <w:r>
        <w:rPr>
          <w:rFonts w:hint="eastAsia" w:ascii="Times New Roman" w:hAnsi="Times New Roman" w:eastAsia="宋体"/>
          <w:b/>
          <w:bCs/>
          <w:color w:val="auto"/>
          <w:sz w:val="28"/>
          <w:szCs w:val="18"/>
          <w:highlight w:val="none"/>
          <w:lang w:eastAsia="zh-CN"/>
        </w:rPr>
        <w:t>4</w:t>
      </w:r>
      <w:r>
        <w:rPr>
          <w:rFonts w:hint="eastAsia" w:eastAsia="宋体"/>
          <w:b/>
          <w:bCs/>
          <w:color w:val="auto"/>
          <w:sz w:val="28"/>
          <w:szCs w:val="18"/>
          <w:highlight w:val="none"/>
        </w:rPr>
        <w:t>-</w:t>
      </w:r>
      <w:r>
        <w:rPr>
          <w:rFonts w:hint="eastAsia" w:ascii="Times New Roman" w:hAnsi="Times New Roman" w:eastAsia="宋体"/>
          <w:b/>
          <w:bCs/>
          <w:color w:val="auto"/>
          <w:sz w:val="28"/>
          <w:szCs w:val="18"/>
          <w:highlight w:val="none"/>
          <w:lang w:eastAsia="zh-CN"/>
        </w:rPr>
        <w:t>3</w:t>
      </w:r>
      <w:r>
        <w:rPr>
          <w:rFonts w:hint="eastAsia" w:eastAsia="宋体"/>
          <w:b/>
          <w:bCs/>
          <w:color w:val="auto"/>
          <w:sz w:val="28"/>
          <w:szCs w:val="18"/>
          <w:highlight w:val="none"/>
        </w:rPr>
        <w:t xml:space="preserve">  </w:t>
      </w:r>
      <w:r>
        <w:rPr>
          <w:rFonts w:eastAsia="宋体"/>
          <w:b/>
          <w:bCs/>
          <w:color w:val="auto"/>
          <w:sz w:val="28"/>
          <w:szCs w:val="18"/>
          <w:highlight w:val="none"/>
        </w:rPr>
        <w:t>龙头工业园区总体规划示意图</w:t>
      </w:r>
    </w:p>
    <w:p>
      <w:pPr>
        <w:rPr>
          <w:color w:val="auto"/>
          <w:highlight w:val="none"/>
        </w:rPr>
      </w:pPr>
      <w:r>
        <w:rPr>
          <w:rFonts w:hint="eastAsia"/>
          <w:b/>
          <w:bCs/>
          <w:color w:val="auto"/>
          <w:highlight w:val="none"/>
          <w:lang w:val="en-US" w:eastAsia="zh-CN"/>
        </w:rPr>
        <w:t>促进</w:t>
      </w:r>
      <w:r>
        <w:rPr>
          <w:b/>
          <w:bCs/>
          <w:color w:val="auto"/>
          <w:highlight w:val="none"/>
        </w:rPr>
        <w:t>官渡工业园</w:t>
      </w:r>
      <w:r>
        <w:rPr>
          <w:rFonts w:hint="eastAsia"/>
          <w:b/>
          <w:bCs/>
          <w:color w:val="auto"/>
          <w:highlight w:val="none"/>
          <w:lang w:val="en-US" w:eastAsia="zh-CN"/>
        </w:rPr>
        <w:t>提质增效</w:t>
      </w:r>
      <w:r>
        <w:rPr>
          <w:rFonts w:hint="eastAsia"/>
          <w:b/>
          <w:bCs/>
          <w:color w:val="auto"/>
          <w:highlight w:val="none"/>
        </w:rPr>
        <w:t>。</w:t>
      </w:r>
      <w:r>
        <w:rPr>
          <w:color w:val="auto"/>
          <w:highlight w:val="none"/>
        </w:rPr>
        <w:t>坚持绿色发展理念，建设生态园区大力推进绿色发展、循环发展、低碳发展，形成节约资源和保护环境的空间格局、产业结构、生产方式。完善园区主导产业的产业链，提高各产业链的整体竞争力，促进园区主导产业间的渗透和柔性联动效应，形成以智能家电等高端制造产业为主导，产业集聚发展的生态高新科技产业园。</w:t>
      </w:r>
    </w:p>
    <w:p>
      <w:pPr>
        <w:ind w:firstLine="0" w:firstLineChars="0"/>
        <w:rPr>
          <w:color w:val="auto"/>
          <w:highlight w:val="none"/>
        </w:rPr>
      </w:pPr>
      <w:r>
        <w:rPr>
          <w:color w:val="auto"/>
          <w:highlight w:val="none"/>
        </w:rPr>
        <w:drawing>
          <wp:inline distT="0" distB="0" distL="114300" distR="114300">
            <wp:extent cx="5269865" cy="395986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5269865" cy="39598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0" w:firstLineChars="0"/>
        <w:jc w:val="center"/>
        <w:rPr>
          <w:rFonts w:eastAsia="宋体"/>
          <w:b/>
          <w:bCs/>
          <w:color w:val="auto"/>
          <w:sz w:val="28"/>
          <w:szCs w:val="18"/>
          <w:highlight w:val="none"/>
        </w:rPr>
      </w:pPr>
      <w:r>
        <w:rPr>
          <w:rFonts w:eastAsia="宋体"/>
          <w:b/>
          <w:bCs/>
          <w:color w:val="auto"/>
          <w:sz w:val="28"/>
          <w:szCs w:val="18"/>
          <w:highlight w:val="none"/>
        </w:rPr>
        <w:t>图</w:t>
      </w:r>
      <w:r>
        <w:rPr>
          <w:rFonts w:hint="eastAsia" w:ascii="Times New Roman" w:hAnsi="Times New Roman" w:eastAsia="宋体"/>
          <w:b/>
          <w:bCs/>
          <w:color w:val="auto"/>
          <w:sz w:val="28"/>
          <w:szCs w:val="18"/>
          <w:highlight w:val="none"/>
          <w:lang w:eastAsia="zh-CN"/>
        </w:rPr>
        <w:t>4</w:t>
      </w:r>
      <w:r>
        <w:rPr>
          <w:rFonts w:hint="eastAsia" w:eastAsia="宋体"/>
          <w:b/>
          <w:bCs/>
          <w:color w:val="auto"/>
          <w:sz w:val="28"/>
          <w:szCs w:val="18"/>
          <w:highlight w:val="none"/>
        </w:rPr>
        <w:t>-</w:t>
      </w:r>
      <w:r>
        <w:rPr>
          <w:rFonts w:hint="eastAsia" w:ascii="Times New Roman" w:hAnsi="Times New Roman" w:eastAsia="宋体"/>
          <w:b/>
          <w:bCs/>
          <w:color w:val="auto"/>
          <w:sz w:val="28"/>
          <w:szCs w:val="18"/>
          <w:highlight w:val="none"/>
          <w:lang w:eastAsia="zh-CN"/>
        </w:rPr>
        <w:t>4</w:t>
      </w:r>
      <w:r>
        <w:rPr>
          <w:rFonts w:hint="eastAsia" w:eastAsia="宋体"/>
          <w:b/>
          <w:bCs/>
          <w:color w:val="auto"/>
          <w:sz w:val="28"/>
          <w:szCs w:val="18"/>
          <w:highlight w:val="none"/>
        </w:rPr>
        <w:t xml:space="preserve">  </w:t>
      </w:r>
      <w:r>
        <w:rPr>
          <w:rFonts w:eastAsia="宋体"/>
          <w:b/>
          <w:bCs/>
          <w:color w:val="auto"/>
          <w:sz w:val="28"/>
          <w:szCs w:val="18"/>
          <w:highlight w:val="none"/>
        </w:rPr>
        <w:t>官渡工业园区总体规划示意图</w:t>
      </w:r>
    </w:p>
    <w:p>
      <w:pPr>
        <w:rPr>
          <w:color w:val="auto"/>
          <w:highlight w:val="none"/>
        </w:rPr>
      </w:pPr>
      <w:r>
        <w:rPr>
          <w:rFonts w:hint="eastAsia"/>
          <w:b/>
          <w:bCs/>
          <w:color w:val="auto"/>
          <w:highlight w:val="none"/>
          <w:lang w:val="en-US" w:eastAsia="zh-CN"/>
        </w:rPr>
        <w:t>着力建设</w:t>
      </w:r>
      <w:r>
        <w:rPr>
          <w:b/>
          <w:bCs/>
          <w:color w:val="auto"/>
          <w:highlight w:val="none"/>
        </w:rPr>
        <w:t>高铁</w:t>
      </w:r>
      <w:r>
        <w:rPr>
          <w:rFonts w:hint="eastAsia"/>
          <w:b/>
          <w:bCs/>
          <w:color w:val="auto"/>
          <w:highlight w:val="none"/>
          <w:lang w:val="en-US" w:eastAsia="zh-CN"/>
        </w:rPr>
        <w:t>片区</w:t>
      </w:r>
      <w:r>
        <w:rPr>
          <w:rFonts w:hint="eastAsia"/>
          <w:b/>
          <w:bCs/>
          <w:color w:val="auto"/>
          <w:highlight w:val="none"/>
        </w:rPr>
        <w:t>。</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期间，依托广湛高铁湛江东站，聚焦枢纽经济抓住高铁时代新机遇</w:t>
      </w:r>
      <w:r>
        <w:rPr>
          <w:rFonts w:hint="eastAsia"/>
          <w:color w:val="auto"/>
          <w:highlight w:val="none"/>
          <w:lang w:eastAsia="zh-CN"/>
        </w:rPr>
        <w:t>，</w:t>
      </w:r>
      <w:r>
        <w:rPr>
          <w:color w:val="auto"/>
          <w:highlight w:val="none"/>
        </w:rPr>
        <w:t>推动高铁站片区规划设计与施工计划的高度融合和无缝对接，将城市路网纳入高铁配套建设，构建畅通大湾区的快速综合交通体系，打造高铁配套产业发展新高地。以湛江东站为中心，加强高铁经济合作开发，深入推进</w:t>
      </w:r>
      <w:r>
        <w:rPr>
          <w:rFonts w:hint="eastAsia"/>
          <w:color w:val="auto"/>
          <w:highlight w:val="none"/>
        </w:rPr>
        <w:t>“</w:t>
      </w:r>
      <w:r>
        <w:rPr>
          <w:color w:val="auto"/>
          <w:highlight w:val="none"/>
        </w:rPr>
        <w:t>高铁+产业化</w:t>
      </w:r>
      <w:r>
        <w:rPr>
          <w:rFonts w:hint="eastAsia"/>
          <w:color w:val="auto"/>
          <w:highlight w:val="none"/>
        </w:rPr>
        <w:t>”</w:t>
      </w:r>
      <w:r>
        <w:rPr>
          <w:color w:val="auto"/>
          <w:highlight w:val="none"/>
        </w:rPr>
        <w:t>，做大做强高铁配套经济、旅游经济、会展经济等关联产业，推动高铁站发展高铁商贸区，建成以高铁商业商贸为主要业态的商贸区，打造集商务办公、星级宾馆、商业购物、文化休闲等功能于一体的高铁</w:t>
      </w:r>
      <w:r>
        <w:rPr>
          <w:rFonts w:hint="eastAsia"/>
          <w:color w:val="auto"/>
          <w:highlight w:val="none"/>
          <w:lang w:val="en-US" w:eastAsia="zh-CN"/>
        </w:rPr>
        <w:t>片区</w:t>
      </w:r>
      <w:r>
        <w:rPr>
          <w:color w:val="auto"/>
          <w:highlight w:val="none"/>
        </w:rPr>
        <w:t>，推动坡头经济跨越式发展。</w:t>
      </w:r>
    </w:p>
    <w:p>
      <w:pPr>
        <w:pStyle w:val="2"/>
      </w:pPr>
    </w:p>
    <w:p>
      <w:pPr>
        <w:rPr>
          <w:color w:val="auto"/>
          <w:highlight w:val="none"/>
        </w:rPr>
      </w:pPr>
      <w:r>
        <w:rPr>
          <w:b/>
          <w:bCs/>
          <w:color w:val="auto"/>
          <w:highlight w:val="none"/>
        </w:rPr>
        <w:t>推进海陆空</w:t>
      </w:r>
      <w:r>
        <w:rPr>
          <w:rFonts w:hint="eastAsia"/>
          <w:b/>
          <w:bCs/>
          <w:color w:val="auto"/>
          <w:highlight w:val="none"/>
          <w:lang w:val="en-US" w:eastAsia="zh-CN"/>
        </w:rPr>
        <w:t>综合</w:t>
      </w:r>
      <w:r>
        <w:rPr>
          <w:b/>
          <w:bCs/>
          <w:color w:val="auto"/>
          <w:highlight w:val="none"/>
        </w:rPr>
        <w:t>物流园建设</w:t>
      </w:r>
      <w:r>
        <w:rPr>
          <w:rFonts w:hint="eastAsia"/>
          <w:b/>
          <w:bCs/>
          <w:color w:val="auto"/>
          <w:highlight w:val="none"/>
        </w:rPr>
        <w:t>。</w:t>
      </w:r>
      <w:r>
        <w:rPr>
          <w:b w:val="0"/>
          <w:bCs/>
          <w:color w:val="auto"/>
          <w:highlight w:val="none"/>
          <w:lang w:val="en-US" w:eastAsia="zh-CN"/>
        </w:rPr>
        <w:t>依托</w:t>
      </w:r>
      <w:r>
        <w:rPr>
          <w:rFonts w:hint="eastAsia"/>
          <w:b w:val="0"/>
          <w:bCs/>
          <w:color w:val="auto"/>
          <w:highlight w:val="none"/>
          <w:lang w:val="en-US" w:eastAsia="zh-CN"/>
        </w:rPr>
        <w:t>广</w:t>
      </w:r>
      <w:r>
        <w:rPr>
          <w:b w:val="0"/>
          <w:bCs/>
          <w:color w:val="auto"/>
          <w:highlight w:val="none"/>
          <w:lang w:val="en-US" w:eastAsia="zh-CN"/>
        </w:rPr>
        <w:t>湛高铁</w:t>
      </w:r>
      <w:r>
        <w:rPr>
          <w:rFonts w:hint="eastAsia"/>
          <w:b w:val="0"/>
          <w:bCs/>
          <w:color w:val="auto"/>
          <w:highlight w:val="none"/>
          <w:lang w:val="en-US" w:eastAsia="zh-CN"/>
        </w:rPr>
        <w:t>及广湛高速公路、云湛高速公路、深湛铁路、广东西部沿海高铁贯穿全境的</w:t>
      </w:r>
      <w:r>
        <w:rPr>
          <w:b w:val="0"/>
          <w:bCs/>
          <w:color w:val="auto"/>
          <w:highlight w:val="none"/>
          <w:lang w:val="en-US" w:eastAsia="zh-CN"/>
        </w:rPr>
        <w:t>交通区位优势，大力发展现代物流业，打造区域物流中心。</w:t>
      </w:r>
      <w:r>
        <w:rPr>
          <w:rFonts w:hint="eastAsia"/>
          <w:b w:val="0"/>
          <w:bCs/>
          <w:color w:val="auto"/>
          <w:highlight w:val="none"/>
          <w:lang w:val="en-US" w:eastAsia="zh-CN"/>
        </w:rPr>
        <w:t>建设</w:t>
      </w:r>
      <w:r>
        <w:rPr>
          <w:b w:val="0"/>
          <w:bCs/>
          <w:color w:val="auto"/>
          <w:highlight w:val="none"/>
          <w:lang w:val="en-US" w:eastAsia="zh-CN"/>
        </w:rPr>
        <w:t>集商品交易、物流配送、商业配套和生活配套为一体的大型</w:t>
      </w:r>
      <w:r>
        <w:rPr>
          <w:rFonts w:hint="eastAsia"/>
          <w:b w:val="0"/>
          <w:bCs/>
          <w:color w:val="auto"/>
          <w:highlight w:val="none"/>
          <w:lang w:val="en-US" w:eastAsia="zh-CN"/>
        </w:rPr>
        <w:t>新型智慧仓储式物流综合</w:t>
      </w:r>
      <w:r>
        <w:rPr>
          <w:b w:val="0"/>
          <w:bCs/>
          <w:color w:val="auto"/>
          <w:highlight w:val="none"/>
          <w:lang w:val="en-US" w:eastAsia="zh-CN"/>
        </w:rPr>
        <w:t>商贸物流平台，形成综合性商贸物流平台。培养行业龙头企业，加快物流标准化建设，加大对重点物流企业的政策支持力度，加强龙头企业示范作用，引导和支持企业结合产业结构调整、物流业调整方向和要求，发展高端物流业。</w:t>
      </w:r>
    </w:p>
    <w:bookmarkEnd w:id="136"/>
    <w:bookmarkEnd w:id="137"/>
    <w:bookmarkEnd w:id="138"/>
    <w:bookmarkEnd w:id="139"/>
    <w:bookmarkEnd w:id="140"/>
    <w:p>
      <w:pPr>
        <w:pStyle w:val="5"/>
        <w:bidi w:val="0"/>
        <w:rPr>
          <w:rFonts w:hint="default" w:eastAsia="楷体"/>
          <w:color w:val="auto"/>
          <w:highlight w:val="none"/>
          <w:lang w:val="en-US" w:eastAsia="zh-CN"/>
        </w:rPr>
      </w:pPr>
      <w:r>
        <w:rPr>
          <w:rFonts w:hint="eastAsia"/>
          <w:color w:val="auto"/>
          <w:highlight w:val="none"/>
          <w:lang w:val="en-US" w:eastAsia="zh-CN"/>
        </w:rPr>
        <w:t>三</w:t>
      </w:r>
      <w:r>
        <w:rPr>
          <w:rFonts w:hint="eastAsia"/>
          <w:color w:val="auto"/>
          <w:highlight w:val="none"/>
        </w:rPr>
        <w:t>、</w:t>
      </w:r>
      <w:r>
        <w:rPr>
          <w:rFonts w:hint="eastAsia"/>
          <w:color w:val="auto"/>
          <w:highlight w:val="none"/>
          <w:lang w:val="en-US" w:eastAsia="zh-CN"/>
        </w:rPr>
        <w:t>完善</w:t>
      </w:r>
      <w:r>
        <w:rPr>
          <w:color w:val="auto"/>
          <w:highlight w:val="none"/>
        </w:rPr>
        <w:t>产业园区</w:t>
      </w:r>
      <w:r>
        <w:rPr>
          <w:rFonts w:hint="eastAsia"/>
          <w:color w:val="auto"/>
          <w:highlight w:val="none"/>
          <w:lang w:val="en-US" w:eastAsia="zh-CN"/>
        </w:rPr>
        <w:t>配套建设</w:t>
      </w:r>
    </w:p>
    <w:p>
      <w:pPr>
        <w:ind w:firstLine="640"/>
        <w:rPr>
          <w:color w:val="auto"/>
          <w:highlight w:val="none"/>
        </w:rPr>
      </w:pPr>
      <w:r>
        <w:rPr>
          <w:rFonts w:hint="eastAsia"/>
          <w:color w:val="auto"/>
          <w:highlight w:val="none"/>
        </w:rPr>
        <w:t>加快完善科技产业园区规划和基础设施建设，扩大园区建设规模，加快土地征收和闲置土地盘活，支持优势企业扩建扩产。</w:t>
      </w:r>
      <w:r>
        <w:rPr>
          <w:color w:val="auto"/>
          <w:highlight w:val="none"/>
        </w:rPr>
        <w:t>全力推动官渡产业园提质增效，盘活园区土地资源，清退僵尸企业，加快园区道路、环保、供水、供电等配套基础设施建设，协调电信运营商、铁塔公司优先安排产业园区信息基础设施及通信管网建设。支持园区引入第三方专业机构运营管理，完善园区信息共享与服务网络平台建设。</w:t>
      </w:r>
    </w:p>
    <w:p>
      <w:pPr>
        <w:ind w:firstLine="640"/>
        <w:rPr>
          <w:rFonts w:hint="eastAsia"/>
          <w:color w:val="auto"/>
          <w:highlight w:val="none"/>
        </w:rPr>
      </w:pPr>
      <w:r>
        <w:rPr>
          <w:rFonts w:hint="eastAsia"/>
          <w:color w:val="auto"/>
          <w:highlight w:val="none"/>
        </w:rPr>
        <w:t>以宝钢、中海油、中科炼化、巴斯夫等龙头企业为产业链“链主”企业，着力招引产业链上下游核心环节配套企业，构建功能互补、协作紧密的产业配套格局。开展“链主”企业产品配套和技术需求揭榜活动，吸引中小企业进行揭榜配套，推动本地企业产品及服务进入“链主”企业产业链供应链体系，建立健全本地产业配套体系。</w:t>
      </w:r>
    </w:p>
    <w:p>
      <w:pPr>
        <w:ind w:firstLine="640"/>
        <w:rPr>
          <w:color w:val="auto"/>
          <w:highlight w:val="none"/>
        </w:rPr>
      </w:pPr>
      <w:r>
        <w:rPr>
          <w:color w:val="auto"/>
          <w:highlight w:val="none"/>
        </w:rPr>
        <w:t>推动与广州、深圳深度协作，主动承接</w:t>
      </w:r>
      <w:r>
        <w:rPr>
          <w:rFonts w:hint="eastAsia"/>
          <w:color w:val="auto"/>
          <w:highlight w:val="none"/>
        </w:rPr>
        <w:t>“</w:t>
      </w:r>
      <w:r>
        <w:rPr>
          <w:color w:val="auto"/>
          <w:highlight w:val="none"/>
        </w:rPr>
        <w:t>双区</w:t>
      </w:r>
      <w:r>
        <w:rPr>
          <w:rFonts w:hint="eastAsia"/>
          <w:color w:val="auto"/>
          <w:highlight w:val="none"/>
        </w:rPr>
        <w:t>”</w:t>
      </w:r>
      <w:r>
        <w:rPr>
          <w:color w:val="auto"/>
          <w:highlight w:val="none"/>
        </w:rPr>
        <w:t>产业转移，强化与珠三角地区尤其是珠江西岸先进装备制造产业带各城市的对接合作，发挥共建产业园区及省产业转移园的平台载体作用，重点推动坡头产业转移工业园扩容提质。争取与珠海、佛山和深圳南山共建产业合作区，发展</w:t>
      </w:r>
      <w:r>
        <w:rPr>
          <w:rFonts w:hint="eastAsia"/>
          <w:color w:val="auto"/>
          <w:highlight w:val="none"/>
        </w:rPr>
        <w:t>“</w:t>
      </w:r>
      <w:r>
        <w:rPr>
          <w:color w:val="auto"/>
          <w:highlight w:val="none"/>
        </w:rPr>
        <w:t>飞地经济</w:t>
      </w:r>
      <w:r>
        <w:rPr>
          <w:rFonts w:hint="eastAsia"/>
          <w:color w:val="auto"/>
          <w:highlight w:val="none"/>
        </w:rPr>
        <w:t>”</w:t>
      </w:r>
      <w:r>
        <w:rPr>
          <w:color w:val="auto"/>
          <w:highlight w:val="none"/>
        </w:rPr>
        <w:t>。加快推动深圳南山（湛江）高新技术产业园项目落地，实现产业</w:t>
      </w:r>
      <w:r>
        <w:rPr>
          <w:rFonts w:hint="eastAsia"/>
          <w:color w:val="auto"/>
          <w:highlight w:val="none"/>
        </w:rPr>
        <w:t>“</w:t>
      </w:r>
      <w:r>
        <w:rPr>
          <w:color w:val="auto"/>
          <w:highlight w:val="none"/>
        </w:rPr>
        <w:t>转移-承接</w:t>
      </w:r>
      <w:r>
        <w:rPr>
          <w:rFonts w:hint="eastAsia"/>
          <w:color w:val="auto"/>
          <w:highlight w:val="none"/>
        </w:rPr>
        <w:t>”</w:t>
      </w:r>
      <w:r>
        <w:rPr>
          <w:color w:val="auto"/>
          <w:highlight w:val="none"/>
        </w:rPr>
        <w:t>无缝对接。</w:t>
      </w:r>
    </w:p>
    <w:tbl>
      <w:tblPr>
        <w:tblStyle w:val="14"/>
        <w:tblpPr w:leftFromText="180" w:rightFromText="180" w:vertAnchor="text" w:horzAnchor="margin" w:tblpXSpec="center" w:tblpY="314"/>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657" w:type="dxa"/>
            <w:noWrap w:val="0"/>
            <w:vAlign w:val="center"/>
          </w:tcPr>
          <w:p>
            <w:pPr>
              <w:widowControl w:val="0"/>
              <w:spacing w:line="240" w:lineRule="auto"/>
              <w:ind w:firstLine="0" w:firstLineChars="0"/>
              <w:jc w:val="center"/>
              <w:textAlignment w:val="auto"/>
              <w:rPr>
                <w:rFonts w:hint="default" w:ascii="Calibri" w:hAnsi="Calibri" w:eastAsia="宋体" w:cs="Times New Roman"/>
                <w:b/>
                <w:color w:val="auto"/>
                <w:kern w:val="2"/>
                <w:sz w:val="24"/>
                <w:szCs w:val="24"/>
                <w:highlight w:val="none"/>
                <w:lang w:val="en-US"/>
              </w:rPr>
            </w:pPr>
            <w:r>
              <w:rPr>
                <w:rFonts w:ascii="Times New Roman" w:hAnsi="Times New Roman" w:eastAsia="宋体" w:cs="Times New Roman"/>
                <w:b/>
                <w:color w:val="auto"/>
                <w:kern w:val="2"/>
                <w:sz w:val="28"/>
                <w:szCs w:val="28"/>
                <w:highlight w:val="none"/>
              </w:rPr>
              <w:t>专栏</w:t>
            </w:r>
            <w:r>
              <w:rPr>
                <w:rFonts w:hint="eastAsia" w:ascii="Times New Roman" w:hAnsi="Times New Roman" w:eastAsia="宋体" w:cs="Times New Roman"/>
                <w:b/>
                <w:color w:val="auto"/>
                <w:kern w:val="2"/>
                <w:sz w:val="28"/>
                <w:szCs w:val="28"/>
                <w:highlight w:val="none"/>
                <w:lang w:val="en-US" w:eastAsia="zh-CN"/>
              </w:rPr>
              <w:t>5</w:t>
            </w:r>
            <w:r>
              <w:rPr>
                <w:rFonts w:hint="eastAsia" w:ascii="Times New Roman" w:hAnsi="Times New Roman" w:eastAsia="宋体" w:cs="Times New Roman"/>
                <w:b/>
                <w:color w:val="auto"/>
                <w:kern w:val="2"/>
                <w:sz w:val="28"/>
                <w:szCs w:val="28"/>
                <w:highlight w:val="none"/>
              </w:rPr>
              <w:t>：</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十四五</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时期</w:t>
            </w:r>
            <w:r>
              <w:rPr>
                <w:rFonts w:hint="eastAsia" w:eastAsia="宋体" w:cs="Times New Roman"/>
                <w:b/>
                <w:color w:val="auto"/>
                <w:kern w:val="2"/>
                <w:sz w:val="28"/>
                <w:szCs w:val="28"/>
                <w:highlight w:val="none"/>
                <w:lang w:val="en-US" w:eastAsia="zh-CN"/>
              </w:rPr>
              <w:t>坡头</w:t>
            </w:r>
            <w:r>
              <w:rPr>
                <w:rFonts w:hint="eastAsia" w:ascii="Times New Roman" w:hAnsi="Times New Roman" w:eastAsia="宋体" w:cs="Times New Roman"/>
                <w:b/>
                <w:color w:val="auto"/>
                <w:kern w:val="2"/>
                <w:sz w:val="28"/>
                <w:szCs w:val="28"/>
                <w:highlight w:val="none"/>
                <w:lang w:val="en-US" w:eastAsia="zh-CN"/>
              </w:rPr>
              <w:t>区</w:t>
            </w:r>
            <w:r>
              <w:rPr>
                <w:rFonts w:hint="eastAsia" w:eastAsia="宋体" w:cs="Times New Roman"/>
                <w:b/>
                <w:color w:val="auto"/>
                <w:kern w:val="2"/>
                <w:sz w:val="28"/>
                <w:szCs w:val="28"/>
                <w:highlight w:val="none"/>
                <w:lang w:val="en-US" w:eastAsia="zh-CN"/>
              </w:rPr>
              <w:t>产业重点建设项目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8657" w:type="dxa"/>
            <w:noWrap w:val="0"/>
            <w:vAlign w:val="top"/>
          </w:tcPr>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lang w:val="en-US" w:eastAsia="zh-CN"/>
              </w:rPr>
            </w:pPr>
            <w:r>
              <w:rPr>
                <w:rFonts w:hint="eastAsia" w:ascii="Times New Roman" w:hAnsi="Times New Roman" w:eastAsia="宋体" w:cs="宋体"/>
                <w:b/>
                <w:bCs/>
                <w:color w:val="auto"/>
                <w:kern w:val="2"/>
                <w:sz w:val="24"/>
                <w:szCs w:val="24"/>
                <w:highlight w:val="none"/>
                <w:lang w:val="en-US" w:eastAsia="zh-CN"/>
              </w:rPr>
              <w:t>1.</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高端装备制造工程：</w:t>
            </w:r>
            <w:r>
              <w:rPr>
                <w:rFonts w:hint="eastAsia" w:ascii="宋体" w:hAnsi="宋体" w:eastAsia="宋体" w:cs="宋体"/>
                <w:color w:val="auto"/>
                <w:kern w:val="2"/>
                <w:sz w:val="24"/>
                <w:szCs w:val="24"/>
                <w:highlight w:val="none"/>
                <w:lang w:val="en-US" w:eastAsia="zh-CN"/>
              </w:rPr>
              <w:t>海荃新能源游艇研发制造项目、健力源医疗器械工程技术研究中心及产业基地建设项目、麻斜祥和船舶</w:t>
            </w:r>
            <w:r>
              <w:rPr>
                <w:rFonts w:hint="eastAsia" w:ascii="Times New Roman" w:hAnsi="Times New Roman" w:eastAsia="宋体" w:cs="宋体"/>
                <w:color w:val="auto"/>
                <w:kern w:val="2"/>
                <w:sz w:val="24"/>
                <w:szCs w:val="24"/>
                <w:highlight w:val="none"/>
                <w:lang w:val="en-US" w:eastAsia="zh-CN"/>
              </w:rPr>
              <w:t>25000</w:t>
            </w:r>
            <w:r>
              <w:rPr>
                <w:rFonts w:hint="eastAsia" w:ascii="宋体" w:hAnsi="宋体" w:eastAsia="宋体" w:cs="宋体"/>
                <w:color w:val="auto"/>
                <w:kern w:val="2"/>
                <w:sz w:val="24"/>
                <w:szCs w:val="24"/>
                <w:highlight w:val="none"/>
                <w:lang w:val="en-US" w:eastAsia="zh-CN"/>
              </w:rPr>
              <w:t>吨船坞技改工程项目、广东元和鑫龙游艇有限公司亚洲游艇中心（第一期）新建项目，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b/>
                <w:bCs/>
                <w:color w:val="auto"/>
                <w:kern w:val="2"/>
                <w:sz w:val="24"/>
                <w:szCs w:val="24"/>
                <w:highlight w:val="none"/>
                <w:lang w:val="en-US" w:eastAsia="zh-CN"/>
              </w:rPr>
              <w:t>12</w:t>
            </w:r>
            <w:r>
              <w:rPr>
                <w:rFonts w:hint="eastAsia" w:ascii="宋体" w:hAnsi="宋体" w:eastAsia="宋体" w:cs="宋体"/>
                <w:color w:val="auto"/>
                <w:kern w:val="2"/>
                <w:sz w:val="24"/>
                <w:szCs w:val="24"/>
                <w:highlight w:val="none"/>
              </w:rPr>
              <w:t>亿元</w:t>
            </w:r>
            <w:r>
              <w:rPr>
                <w:rFonts w:hint="eastAsia" w:ascii="宋体" w:hAnsi="宋体" w:eastAsia="宋体" w:cs="宋体"/>
                <w:color w:val="auto"/>
                <w:kern w:val="2"/>
                <w:sz w:val="24"/>
                <w:szCs w:val="24"/>
                <w:highlight w:val="none"/>
                <w:lang w:val="en-US" w:eastAsia="zh-CN"/>
              </w:rPr>
              <w:t>。</w:t>
            </w:r>
          </w:p>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lang w:val="en-US" w:eastAsia="zh-CN"/>
              </w:rPr>
            </w:pPr>
            <w:r>
              <w:rPr>
                <w:rFonts w:hint="eastAsia" w:ascii="Times New Roman" w:hAnsi="Times New Roman" w:eastAsia="宋体" w:cs="宋体"/>
                <w:b/>
                <w:bCs/>
                <w:color w:val="auto"/>
                <w:kern w:val="2"/>
                <w:sz w:val="24"/>
                <w:szCs w:val="24"/>
                <w:highlight w:val="none"/>
                <w:lang w:val="en-US" w:eastAsia="zh-CN"/>
              </w:rPr>
              <w:t>2.</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食品工业项目工程：</w:t>
            </w:r>
            <w:r>
              <w:rPr>
                <w:rFonts w:hint="eastAsia" w:ascii="宋体" w:hAnsi="宋体" w:eastAsia="宋体" w:cs="宋体"/>
                <w:color w:val="auto"/>
                <w:kern w:val="2"/>
                <w:sz w:val="24"/>
                <w:szCs w:val="24"/>
                <w:highlight w:val="none"/>
                <w:lang w:val="en-US" w:eastAsia="zh-CN"/>
              </w:rPr>
              <w:t>欢乐家年产</w:t>
            </w:r>
            <w:r>
              <w:rPr>
                <w:rFonts w:hint="eastAsia" w:ascii="Times New Roman" w:hAnsi="Times New Roman" w:eastAsia="宋体" w:cs="宋体"/>
                <w:color w:val="auto"/>
                <w:kern w:val="2"/>
                <w:sz w:val="24"/>
                <w:szCs w:val="24"/>
                <w:highlight w:val="none"/>
                <w:lang w:val="en-US" w:eastAsia="zh-CN"/>
              </w:rPr>
              <w:t>13.65</w:t>
            </w:r>
            <w:r>
              <w:rPr>
                <w:rFonts w:hint="eastAsia" w:ascii="宋体" w:hAnsi="宋体" w:eastAsia="宋体" w:cs="宋体"/>
                <w:color w:val="auto"/>
                <w:kern w:val="2"/>
                <w:sz w:val="24"/>
                <w:szCs w:val="24"/>
                <w:highlight w:val="none"/>
                <w:lang w:val="en-US" w:eastAsia="zh-CN"/>
              </w:rPr>
              <w:t>万吨饮料罐头建设项目、湛江市盛春粮油有限公司项目、湛江市凤韵食品有限公司食品加工厂项目，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b/>
                <w:bCs/>
                <w:color w:val="auto"/>
                <w:kern w:val="2"/>
                <w:sz w:val="24"/>
                <w:szCs w:val="24"/>
                <w:highlight w:val="none"/>
                <w:lang w:val="en-US" w:eastAsia="zh-CN"/>
              </w:rPr>
              <w:t>3</w:t>
            </w:r>
            <w:r>
              <w:rPr>
                <w:rFonts w:hint="eastAsia" w:ascii="宋体" w:hAnsi="宋体" w:eastAsia="宋体" w:cs="宋体"/>
                <w:color w:val="auto"/>
                <w:kern w:val="2"/>
                <w:sz w:val="24"/>
                <w:szCs w:val="24"/>
                <w:highlight w:val="none"/>
              </w:rPr>
              <w:t>亿元</w:t>
            </w:r>
            <w:r>
              <w:rPr>
                <w:rFonts w:hint="eastAsia" w:ascii="宋体" w:hAnsi="宋体" w:eastAsia="宋体" w:cs="宋体"/>
                <w:color w:val="auto"/>
                <w:kern w:val="2"/>
                <w:sz w:val="24"/>
                <w:szCs w:val="24"/>
                <w:highlight w:val="none"/>
                <w:lang w:val="en-US" w:eastAsia="zh-CN"/>
              </w:rPr>
              <w:t>。</w:t>
            </w:r>
          </w:p>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lang w:val="en-US" w:eastAsia="zh-CN"/>
              </w:rPr>
            </w:pPr>
            <w:r>
              <w:rPr>
                <w:rFonts w:hint="eastAsia" w:ascii="Times New Roman" w:hAnsi="Times New Roman" w:eastAsia="宋体" w:cs="宋体"/>
                <w:b/>
                <w:bCs/>
                <w:color w:val="auto"/>
                <w:kern w:val="2"/>
                <w:sz w:val="24"/>
                <w:szCs w:val="24"/>
                <w:highlight w:val="none"/>
                <w:lang w:val="en-US" w:eastAsia="zh-CN"/>
              </w:rPr>
              <w:t>3.</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绿色低碳产业工程：</w:t>
            </w:r>
            <w:r>
              <w:rPr>
                <w:rFonts w:hint="eastAsia" w:ascii="宋体" w:hAnsi="宋体" w:eastAsia="宋体" w:cs="宋体"/>
                <w:color w:val="auto"/>
                <w:kern w:val="2"/>
                <w:sz w:val="24"/>
                <w:szCs w:val="24"/>
                <w:highlight w:val="none"/>
                <w:lang w:val="en-US" w:eastAsia="zh-CN"/>
              </w:rPr>
              <w:t>湛江寸草制药有限公司建设中药制剂研发中心及现代化中药生产企业项目、湛江卷烟包装材料印刷有限公司智能绿色工厂建设项目，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b/>
                <w:bCs/>
                <w:color w:val="auto"/>
                <w:kern w:val="2"/>
                <w:sz w:val="24"/>
                <w:szCs w:val="24"/>
                <w:highlight w:val="none"/>
                <w:lang w:val="en-US" w:eastAsia="zh-CN"/>
              </w:rPr>
              <w:t>15</w:t>
            </w:r>
            <w:r>
              <w:rPr>
                <w:rFonts w:hint="eastAsia" w:ascii="宋体" w:hAnsi="宋体" w:eastAsia="宋体" w:cs="宋体"/>
                <w:color w:val="auto"/>
                <w:kern w:val="2"/>
                <w:sz w:val="24"/>
                <w:szCs w:val="24"/>
                <w:highlight w:val="none"/>
              </w:rPr>
              <w:t>亿元</w:t>
            </w:r>
            <w:r>
              <w:rPr>
                <w:rFonts w:hint="eastAsia" w:ascii="宋体" w:hAnsi="宋体" w:eastAsia="宋体" w:cs="宋体"/>
                <w:color w:val="auto"/>
                <w:kern w:val="2"/>
                <w:sz w:val="24"/>
                <w:szCs w:val="24"/>
                <w:highlight w:val="none"/>
                <w:lang w:val="en-US" w:eastAsia="zh-CN"/>
              </w:rPr>
              <w:t>。</w:t>
            </w:r>
          </w:p>
          <w:p>
            <w:pPr>
              <w:widowControl w:val="0"/>
              <w:spacing w:line="400" w:lineRule="exact"/>
              <w:ind w:left="0" w:leftChars="0" w:firstLine="0" w:firstLineChars="0"/>
              <w:jc w:val="left"/>
              <w:textAlignment w:val="auto"/>
              <w:rPr>
                <w:rFonts w:hint="eastAsia" w:ascii="Times New Roman" w:hAnsi="Times New Roman" w:eastAsia="宋体" w:cs="Times New Roman"/>
                <w:b/>
                <w:bCs/>
                <w:color w:val="auto"/>
                <w:kern w:val="2"/>
                <w:sz w:val="24"/>
                <w:szCs w:val="24"/>
                <w:highlight w:val="none"/>
              </w:rPr>
            </w:pPr>
            <w:r>
              <w:rPr>
                <w:rFonts w:hint="eastAsia" w:ascii="Times New Roman" w:hAnsi="Times New Roman" w:eastAsia="宋体" w:cs="宋体"/>
                <w:b/>
                <w:bCs/>
                <w:color w:val="auto"/>
                <w:kern w:val="2"/>
                <w:sz w:val="24"/>
                <w:szCs w:val="24"/>
                <w:highlight w:val="none"/>
                <w:lang w:val="en-US" w:eastAsia="zh-CN"/>
              </w:rPr>
              <w:t>4.</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传统产业升级工程：</w:t>
            </w:r>
            <w:r>
              <w:rPr>
                <w:rFonts w:hint="eastAsia" w:ascii="宋体" w:hAnsi="宋体" w:eastAsia="宋体" w:cs="宋体"/>
                <w:color w:val="auto"/>
                <w:kern w:val="2"/>
                <w:sz w:val="24"/>
                <w:szCs w:val="24"/>
                <w:highlight w:val="none"/>
                <w:lang w:val="en-US" w:eastAsia="zh-CN"/>
              </w:rPr>
              <w:t>广东湛江吉民药业股份有限公司搬迁技术改造项目、湛江市安佳电子实业有限公司项目、永盛工贸有限公司建设项目、广东金合丰制罐包装生产及材料配套产业基地建设项目、广东新宏基年产</w:t>
            </w:r>
            <w:r>
              <w:rPr>
                <w:rFonts w:hint="eastAsia" w:ascii="Times New Roman" w:hAnsi="Times New Roman" w:eastAsia="宋体" w:cs="宋体"/>
                <w:color w:val="auto"/>
                <w:kern w:val="2"/>
                <w:sz w:val="24"/>
                <w:szCs w:val="24"/>
                <w:highlight w:val="none"/>
                <w:lang w:val="en-US" w:eastAsia="zh-CN"/>
              </w:rPr>
              <w:t>10</w:t>
            </w:r>
            <w:r>
              <w:rPr>
                <w:rFonts w:hint="eastAsia" w:ascii="宋体" w:hAnsi="宋体" w:eastAsia="宋体" w:cs="宋体"/>
                <w:color w:val="auto"/>
                <w:kern w:val="2"/>
                <w:sz w:val="24"/>
                <w:szCs w:val="24"/>
                <w:highlight w:val="none"/>
                <w:lang w:val="en-US" w:eastAsia="zh-CN"/>
              </w:rPr>
              <w:t>万套电化教育设备建设项目、湛江市原佳彩印包装材料有限公司项目、湛江家用电器工迁建项目、广东智造铝模科技有限公司建筑用铝模加工厂项目、龙头纸业有限公司年产</w:t>
            </w:r>
            <w:r>
              <w:rPr>
                <w:rFonts w:hint="eastAsia" w:ascii="Times New Roman" w:hAnsi="Times New Roman" w:eastAsia="宋体" w:cs="宋体"/>
                <w:color w:val="auto"/>
                <w:kern w:val="2"/>
                <w:sz w:val="24"/>
                <w:szCs w:val="24"/>
                <w:highlight w:val="none"/>
                <w:lang w:val="en-US" w:eastAsia="zh-CN"/>
              </w:rPr>
              <w:t>3200</w:t>
            </w:r>
            <w:r>
              <w:rPr>
                <w:rFonts w:hint="eastAsia" w:ascii="宋体" w:hAnsi="宋体" w:eastAsia="宋体" w:cs="宋体"/>
                <w:color w:val="auto"/>
                <w:kern w:val="2"/>
                <w:sz w:val="24"/>
                <w:szCs w:val="24"/>
                <w:highlight w:val="none"/>
                <w:lang w:val="en-US" w:eastAsia="zh-CN"/>
              </w:rPr>
              <w:t>万平方米纸箱制品新建项目、坡头区科技产业园龙头园区鸿天高标准厂房建设项目，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b/>
                <w:bCs/>
                <w:color w:val="auto"/>
                <w:kern w:val="2"/>
                <w:sz w:val="24"/>
                <w:szCs w:val="24"/>
                <w:highlight w:val="none"/>
                <w:lang w:val="en-US" w:eastAsia="zh-CN"/>
              </w:rPr>
              <w:t>37</w:t>
            </w:r>
            <w:r>
              <w:rPr>
                <w:rFonts w:hint="eastAsia" w:ascii="宋体" w:hAnsi="宋体" w:eastAsia="宋体" w:cs="宋体"/>
                <w:color w:val="auto"/>
                <w:kern w:val="2"/>
                <w:sz w:val="24"/>
                <w:szCs w:val="24"/>
                <w:highlight w:val="none"/>
              </w:rPr>
              <w:t>亿元。</w:t>
            </w:r>
          </w:p>
          <w:p>
            <w:pPr>
              <w:widowControl w:val="0"/>
              <w:spacing w:line="400" w:lineRule="exact"/>
              <w:ind w:left="0" w:leftChars="0" w:firstLine="0" w:firstLineChars="0"/>
              <w:jc w:val="left"/>
              <w:textAlignment w:val="auto"/>
              <w:rPr>
                <w:rFonts w:hint="default" w:ascii="宋体" w:hAnsi="宋体" w:eastAsia="宋体" w:cs="宋体"/>
                <w:color w:val="auto"/>
                <w:kern w:val="2"/>
                <w:sz w:val="24"/>
                <w:szCs w:val="24"/>
                <w:highlight w:val="none"/>
                <w:lang w:val="en-US"/>
              </w:rPr>
            </w:pPr>
            <w:r>
              <w:rPr>
                <w:rFonts w:hint="eastAsia" w:ascii="Times New Roman" w:hAnsi="Times New Roman" w:eastAsia="宋体" w:cs="Times New Roman"/>
                <w:b/>
                <w:bCs/>
                <w:color w:val="auto"/>
                <w:kern w:val="2"/>
                <w:sz w:val="24"/>
                <w:szCs w:val="24"/>
                <w:highlight w:val="none"/>
                <w:lang w:val="en-US" w:eastAsia="zh-CN"/>
              </w:rPr>
              <w:t>5.</w:t>
            </w:r>
            <w:r>
              <w:rPr>
                <w:rFonts w:hint="eastAsia" w:eastAsia="宋体" w:cs="Times New Roman"/>
                <w:b/>
                <w:bCs/>
                <w:color w:val="auto"/>
                <w:kern w:val="2"/>
                <w:sz w:val="24"/>
                <w:szCs w:val="24"/>
                <w:highlight w:val="none"/>
                <w:lang w:val="en-US" w:eastAsia="zh-CN"/>
              </w:rPr>
              <w:t xml:space="preserve"> </w:t>
            </w:r>
            <w:r>
              <w:rPr>
                <w:rFonts w:hint="eastAsia" w:ascii="Times New Roman" w:hAnsi="Times New Roman" w:eastAsia="宋体" w:cs="Times New Roman"/>
                <w:b/>
                <w:bCs/>
                <w:color w:val="auto"/>
                <w:kern w:val="2"/>
                <w:sz w:val="24"/>
                <w:szCs w:val="24"/>
                <w:highlight w:val="none"/>
              </w:rPr>
              <w:t>产业园区</w:t>
            </w:r>
            <w:r>
              <w:rPr>
                <w:rFonts w:hint="eastAsia" w:eastAsia="宋体" w:cs="Times New Roman"/>
                <w:b/>
                <w:bCs/>
                <w:color w:val="auto"/>
                <w:kern w:val="2"/>
                <w:sz w:val="24"/>
                <w:szCs w:val="24"/>
                <w:highlight w:val="none"/>
                <w:lang w:val="en-US" w:eastAsia="zh-CN"/>
              </w:rPr>
              <w:t>建设项目：</w:t>
            </w:r>
            <w:r>
              <w:rPr>
                <w:rFonts w:hint="eastAsia" w:ascii="宋体" w:hAnsi="宋体" w:eastAsia="宋体" w:cs="宋体"/>
                <w:color w:val="auto"/>
                <w:kern w:val="2"/>
                <w:sz w:val="24"/>
                <w:szCs w:val="24"/>
                <w:highlight w:val="none"/>
              </w:rPr>
              <w:t>加快建设湛江高新区海东园区基础设施</w:t>
            </w:r>
            <w:r>
              <w:rPr>
                <w:rFonts w:hint="eastAsia" w:ascii="宋体" w:hAnsi="宋体" w:eastAsia="宋体" w:cs="宋体"/>
                <w:color w:val="auto"/>
                <w:kern w:val="2"/>
                <w:sz w:val="24"/>
                <w:szCs w:val="24"/>
                <w:highlight w:val="none"/>
                <w:lang w:val="en-US" w:eastAsia="zh-CN"/>
              </w:rPr>
              <w:t>、坡头区科技产业园基础设施，</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b/>
                <w:bCs/>
                <w:color w:val="auto"/>
                <w:kern w:val="2"/>
                <w:sz w:val="24"/>
                <w:szCs w:val="24"/>
                <w:highlight w:val="none"/>
                <w:lang w:val="en-US" w:eastAsia="zh-CN"/>
              </w:rPr>
              <w:t>30</w:t>
            </w:r>
            <w:r>
              <w:rPr>
                <w:rFonts w:hint="eastAsia" w:ascii="宋体" w:hAnsi="宋体" w:eastAsia="宋体" w:cs="宋体"/>
                <w:color w:val="auto"/>
                <w:kern w:val="2"/>
                <w:sz w:val="24"/>
                <w:szCs w:val="24"/>
                <w:highlight w:val="none"/>
              </w:rPr>
              <w:t>亿元。</w:t>
            </w:r>
          </w:p>
        </w:tc>
      </w:tr>
    </w:tbl>
    <w:p>
      <w:pPr>
        <w:pStyle w:val="4"/>
        <w:rPr>
          <w:color w:val="auto"/>
          <w:highlight w:val="none"/>
        </w:rPr>
        <w:sectPr>
          <w:footerReference r:id="rId12" w:type="default"/>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143" w:name="_Toc27093"/>
      <w:bookmarkStart w:id="144" w:name="_Toc27602"/>
      <w:bookmarkStart w:id="145" w:name="_Toc53003187"/>
      <w:bookmarkStart w:id="146" w:name="_Toc20005"/>
      <w:bookmarkStart w:id="147" w:name="_Toc29154"/>
      <w:bookmarkStart w:id="148" w:name="_Toc24417"/>
      <w:bookmarkStart w:id="149" w:name="_Toc17093"/>
      <w:bookmarkStart w:id="150" w:name="_Toc53003172"/>
      <w:r>
        <w:rPr>
          <w:color w:val="auto"/>
          <w:highlight w:val="none"/>
        </w:rPr>
        <w:t>第</w:t>
      </w:r>
      <w:r>
        <w:rPr>
          <w:rFonts w:hint="eastAsia"/>
          <w:color w:val="auto"/>
          <w:highlight w:val="none"/>
        </w:rPr>
        <w:t>五</w:t>
      </w:r>
      <w:r>
        <w:rPr>
          <w:color w:val="auto"/>
          <w:highlight w:val="none"/>
        </w:rPr>
        <w:t xml:space="preserve">章  </w:t>
      </w:r>
      <w:bookmarkEnd w:id="143"/>
      <w:bookmarkEnd w:id="144"/>
      <w:bookmarkEnd w:id="145"/>
      <w:bookmarkEnd w:id="146"/>
      <w:bookmarkEnd w:id="147"/>
      <w:bookmarkEnd w:id="148"/>
      <w:r>
        <w:rPr>
          <w:rFonts w:hint="eastAsia"/>
          <w:color w:val="auto"/>
          <w:highlight w:val="none"/>
        </w:rPr>
        <w:t>提质更新换代 推动基础设施新升级</w:t>
      </w:r>
      <w:bookmarkEnd w:id="149"/>
    </w:p>
    <w:p>
      <w:pPr>
        <w:bidi w:val="0"/>
        <w:rPr>
          <w:rFonts w:hint="eastAsia" w:ascii="仿宋" w:hAnsi="仿宋" w:eastAsia="仿宋" w:cs="仿宋"/>
          <w:color w:val="auto"/>
          <w:highlight w:val="none"/>
          <w:lang w:eastAsia="zh-CN"/>
        </w:rPr>
      </w:pPr>
      <w:bookmarkStart w:id="151" w:name="_Toc28713"/>
      <w:bookmarkStart w:id="152" w:name="_Toc53003188"/>
      <w:bookmarkStart w:id="153" w:name="_Toc7653"/>
      <w:bookmarkStart w:id="154" w:name="_Toc26259"/>
      <w:bookmarkStart w:id="155" w:name="_Toc31269"/>
      <w:bookmarkStart w:id="156" w:name="_Toc3389"/>
      <w:r>
        <w:rPr>
          <w:rFonts w:hint="eastAsia" w:ascii="仿宋" w:hAnsi="仿宋" w:eastAsia="仿宋" w:cs="仿宋"/>
          <w:color w:val="auto"/>
          <w:highlight w:val="none"/>
        </w:rPr>
        <w:t>加快推进</w:t>
      </w:r>
      <w:r>
        <w:rPr>
          <w:rFonts w:hint="eastAsia" w:ascii="仿宋" w:hAnsi="仿宋" w:cs="仿宋"/>
          <w:color w:val="auto"/>
          <w:highlight w:val="none"/>
          <w:lang w:val="en-US" w:eastAsia="zh-CN"/>
        </w:rPr>
        <w:t>坡头</w:t>
      </w:r>
      <w:r>
        <w:rPr>
          <w:rFonts w:hint="eastAsia" w:ascii="仿宋" w:hAnsi="仿宋" w:eastAsia="仿宋" w:cs="仿宋"/>
          <w:color w:val="auto"/>
          <w:highlight w:val="none"/>
        </w:rPr>
        <w:t>交通运输、能源、信息化网络和水利建设，构建现代综合交通运输体系，以新型基础设施</w:t>
      </w:r>
      <w:r>
        <w:rPr>
          <w:rFonts w:hint="eastAsia" w:ascii="仿宋" w:hAnsi="仿宋" w:cs="仿宋"/>
          <w:color w:val="auto"/>
          <w:highlight w:val="none"/>
          <w:lang w:val="en-US" w:eastAsia="zh-CN"/>
        </w:rPr>
        <w:t>建设</w:t>
      </w:r>
      <w:r>
        <w:rPr>
          <w:rFonts w:hint="eastAsia" w:ascii="仿宋" w:hAnsi="仿宋" w:eastAsia="仿宋" w:cs="仿宋"/>
          <w:color w:val="auto"/>
          <w:highlight w:val="none"/>
        </w:rPr>
        <w:t>为牵引推动</w:t>
      </w:r>
      <w:r>
        <w:rPr>
          <w:rFonts w:hint="eastAsia" w:ascii="Times New Roman" w:hAnsi="Times New Roman" w:cs="仿宋"/>
          <w:color w:val="auto"/>
          <w:highlight w:val="none"/>
          <w:lang w:eastAsia="zh-CN"/>
        </w:rPr>
        <w:t>5</w:t>
      </w:r>
      <w:r>
        <w:rPr>
          <w:rFonts w:hint="eastAsia" w:ascii="Times New Roman" w:hAnsi="Times New Roman" w:cs="Times New Roman"/>
          <w:color w:val="auto"/>
          <w:highlight w:val="none"/>
          <w:lang w:eastAsia="zh-CN"/>
        </w:rPr>
        <w:t>G</w:t>
      </w:r>
      <w:r>
        <w:rPr>
          <w:rFonts w:hint="eastAsia" w:ascii="仿宋" w:hAnsi="仿宋" w:eastAsia="仿宋" w:cs="仿宋"/>
          <w:color w:val="auto"/>
          <w:highlight w:val="none"/>
        </w:rPr>
        <w:t>、工业互联网、物联网等</w:t>
      </w:r>
      <w:r>
        <w:rPr>
          <w:rFonts w:hint="eastAsia" w:ascii="仿宋" w:hAnsi="仿宋" w:cs="仿宋"/>
          <w:color w:val="auto"/>
          <w:highlight w:val="none"/>
          <w:lang w:val="en-US" w:eastAsia="zh-CN"/>
        </w:rPr>
        <w:t>信息化网络系统升级，</w:t>
      </w:r>
      <w:r>
        <w:rPr>
          <w:rFonts w:hint="eastAsia" w:ascii="仿宋" w:hAnsi="仿宋" w:eastAsia="仿宋" w:cs="仿宋"/>
          <w:color w:val="auto"/>
          <w:highlight w:val="none"/>
        </w:rPr>
        <w:t>为</w:t>
      </w:r>
      <w:r>
        <w:rPr>
          <w:rFonts w:hint="eastAsia" w:ascii="仿宋" w:hAnsi="仿宋" w:cs="仿宋"/>
          <w:color w:val="auto"/>
          <w:highlight w:val="none"/>
          <w:lang w:val="en-US" w:eastAsia="zh-CN"/>
        </w:rPr>
        <w:t>城市</w:t>
      </w:r>
      <w:r>
        <w:rPr>
          <w:rFonts w:hint="eastAsia" w:ascii="仿宋" w:hAnsi="仿宋" w:eastAsia="仿宋" w:cs="仿宋"/>
          <w:color w:val="auto"/>
          <w:highlight w:val="none"/>
        </w:rPr>
        <w:t>扩容提质提供有力支撑</w:t>
      </w:r>
      <w:r>
        <w:rPr>
          <w:rFonts w:hint="eastAsia" w:ascii="仿宋" w:hAnsi="仿宋" w:cs="仿宋"/>
          <w:color w:val="auto"/>
          <w:highlight w:val="none"/>
          <w:lang w:eastAsia="zh-CN"/>
        </w:rPr>
        <w:t>。</w:t>
      </w:r>
    </w:p>
    <w:p>
      <w:pPr>
        <w:pStyle w:val="4"/>
        <w:spacing w:before="62" w:after="62"/>
        <w:ind w:firstLine="0"/>
        <w:jc w:val="center"/>
        <w:rPr>
          <w:rFonts w:hint="default" w:ascii="宋体" w:hAnsi="宋体"/>
          <w:color w:val="auto"/>
          <w:highlight w:val="none"/>
        </w:rPr>
      </w:pPr>
      <w:bookmarkStart w:id="157" w:name="_Toc7760"/>
      <w:r>
        <w:rPr>
          <w:rFonts w:hint="default" w:ascii="宋体" w:hAnsi="宋体"/>
          <w:color w:val="auto"/>
          <w:highlight w:val="none"/>
        </w:rPr>
        <w:t>第一节 构建现代大交通骨干体系</w:t>
      </w:r>
      <w:bookmarkEnd w:id="151"/>
      <w:bookmarkEnd w:id="152"/>
      <w:bookmarkEnd w:id="153"/>
      <w:bookmarkEnd w:id="154"/>
      <w:bookmarkEnd w:id="155"/>
      <w:bookmarkEnd w:id="156"/>
      <w:bookmarkEnd w:id="157"/>
    </w:p>
    <w:p>
      <w:pPr>
        <w:bidi w:val="0"/>
        <w:rPr>
          <w:rFonts w:hint="default" w:ascii="仿宋" w:hAnsi="仿宋" w:eastAsia="仿宋" w:cs="仿宋"/>
          <w:color w:val="auto"/>
          <w:highlight w:val="none"/>
          <w:lang w:val="en-US" w:eastAsia="zh-CN"/>
        </w:rPr>
      </w:pPr>
      <w:r>
        <w:rPr>
          <w:rFonts w:hint="eastAsia"/>
          <w:color w:val="auto"/>
          <w:highlight w:val="none"/>
        </w:rPr>
        <w:t>依托全市“三环四通”交通发展格局，以湛江新机场建设和广湛高铁东站建设为契机，构建区域内路网通畅，跨区跨市道路外循环的陆海空现代化立体交通枢纽，打造湛江东部门户枢纽城市。</w:t>
      </w:r>
      <w:r>
        <w:rPr>
          <w:rFonts w:hint="eastAsia" w:ascii="仿宋" w:hAnsi="仿宋" w:cs="仿宋"/>
          <w:color w:val="auto"/>
          <w:highlight w:val="none"/>
          <w:lang w:val="en-US" w:eastAsia="zh-CN"/>
        </w:rPr>
        <w:t>统筹推进高速公路、普通公路、市政道路、客运枢纽等综合交通基础设施建设，</w:t>
      </w:r>
      <w:r>
        <w:rPr>
          <w:rFonts w:hint="eastAsia"/>
          <w:color w:val="auto"/>
          <w:highlight w:val="none"/>
          <w:lang w:val="en-US" w:eastAsia="zh-CN"/>
        </w:rPr>
        <w:t>构建坡头</w:t>
      </w:r>
      <w:r>
        <w:rPr>
          <w:rFonts w:hint="eastAsia" w:ascii="仿宋" w:hAnsi="仿宋" w:eastAsia="仿宋" w:cs="仿宋"/>
          <w:color w:val="auto"/>
          <w:highlight w:val="none"/>
        </w:rPr>
        <w:t>对外快速交通“大循环”</w:t>
      </w:r>
      <w:r>
        <w:rPr>
          <w:rFonts w:hint="eastAsia" w:ascii="仿宋" w:hAnsi="仿宋" w:cs="仿宋"/>
          <w:color w:val="auto"/>
          <w:highlight w:val="none"/>
          <w:lang w:eastAsia="zh-CN"/>
        </w:rPr>
        <w:t>、</w:t>
      </w:r>
      <w:r>
        <w:rPr>
          <w:rFonts w:hint="eastAsia" w:ascii="仿宋" w:hAnsi="仿宋" w:eastAsia="仿宋" w:cs="仿宋"/>
          <w:color w:val="auto"/>
          <w:highlight w:val="none"/>
        </w:rPr>
        <w:t>畅通城区“内循环”</w:t>
      </w:r>
      <w:r>
        <w:rPr>
          <w:rFonts w:hint="eastAsia" w:ascii="仿宋" w:hAnsi="仿宋" w:cs="仿宋"/>
          <w:color w:val="auto"/>
          <w:highlight w:val="none"/>
          <w:lang w:val="en-US" w:eastAsia="zh-CN"/>
        </w:rPr>
        <w:t>的双循环新型交通网络，补齐经济社会发展交通短板，提升交通运输能力和水平，初步形成“五纵、五横”主骨架公路网络，基本实现“对外通高铁、区内通高速、镇镇通快速、村村通公交”的“半小时工作生活圈”的目标，将坡头区和海东新区建设成为交通“四通八达”的全省城市扩容提质示范区。</w:t>
      </w:r>
    </w:p>
    <w:p>
      <w:pPr>
        <w:ind w:firstLine="640"/>
        <w:rPr>
          <w:rFonts w:hint="eastAsia"/>
          <w:color w:val="auto"/>
          <w:highlight w:val="none"/>
        </w:rPr>
      </w:pPr>
    </w:p>
    <w:p>
      <w:pPr>
        <w:bidi w:val="0"/>
        <w:ind w:left="0" w:leftChars="0" w:firstLine="0" w:firstLineChars="0"/>
        <w:jc w:val="center"/>
        <w:rPr>
          <w:rFonts w:hint="eastAsia"/>
          <w:color w:val="auto"/>
          <w:highlight w:val="none"/>
          <w:lang w:eastAsia="zh-CN"/>
        </w:rPr>
      </w:pPr>
      <w:r>
        <w:rPr>
          <w:rFonts w:hint="eastAsia"/>
          <w:color w:val="auto"/>
          <w:highlight w:val="none"/>
          <w:lang w:eastAsia="zh-CN"/>
        </w:rPr>
        <w:drawing>
          <wp:inline distT="0" distB="0" distL="114300" distR="114300">
            <wp:extent cx="5878195" cy="8292465"/>
            <wp:effectExtent l="0" t="0" r="8255" b="13335"/>
            <wp:docPr id="14" name="图片 14" descr="坡头交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坡头交通"/>
                    <pic:cNvPicPr>
                      <a:picLocks noChangeAspect="1"/>
                    </pic:cNvPicPr>
                  </pic:nvPicPr>
                  <pic:blipFill>
                    <a:blip r:embed="rId20"/>
                    <a:stretch>
                      <a:fillRect/>
                    </a:stretch>
                  </pic:blipFill>
                  <pic:spPr>
                    <a:xfrm>
                      <a:off x="0" y="0"/>
                      <a:ext cx="5878195" cy="8292465"/>
                    </a:xfrm>
                    <a:prstGeom prst="rect">
                      <a:avLst/>
                    </a:prstGeom>
                  </pic:spPr>
                </pic:pic>
              </a:graphicData>
            </a:graphic>
          </wp:inline>
        </w:drawing>
      </w:r>
    </w:p>
    <w:p>
      <w:pPr>
        <w:ind w:firstLine="0" w:firstLineChars="0"/>
        <w:jc w:val="center"/>
        <w:rPr>
          <w:color w:val="auto"/>
          <w:highlight w:val="none"/>
        </w:rPr>
      </w:pPr>
      <w:r>
        <w:rPr>
          <w:rFonts w:eastAsia="宋体"/>
          <w:b/>
          <w:bCs/>
          <w:color w:val="auto"/>
          <w:sz w:val="28"/>
          <w:szCs w:val="18"/>
          <w:highlight w:val="none"/>
        </w:rPr>
        <w:t>图</w:t>
      </w:r>
      <w:r>
        <w:rPr>
          <w:rFonts w:hint="eastAsia" w:eastAsia="宋体"/>
          <w:b/>
          <w:bCs/>
          <w:color w:val="auto"/>
          <w:sz w:val="28"/>
          <w:szCs w:val="18"/>
          <w:highlight w:val="none"/>
          <w:lang w:val="en-US" w:eastAsia="zh-CN"/>
        </w:rPr>
        <w:t>5</w:t>
      </w:r>
      <w:r>
        <w:rPr>
          <w:rFonts w:hint="eastAsia" w:eastAsia="宋体"/>
          <w:b/>
          <w:bCs/>
          <w:color w:val="auto"/>
          <w:sz w:val="28"/>
          <w:szCs w:val="18"/>
          <w:highlight w:val="none"/>
        </w:rPr>
        <w:t>-</w:t>
      </w:r>
      <w:r>
        <w:rPr>
          <w:rFonts w:hint="eastAsia" w:ascii="Times New Roman" w:hAnsi="Times New Roman" w:eastAsia="宋体"/>
          <w:b/>
          <w:bCs/>
          <w:color w:val="auto"/>
          <w:sz w:val="28"/>
          <w:szCs w:val="18"/>
          <w:highlight w:val="none"/>
          <w:lang w:eastAsia="zh-CN"/>
        </w:rPr>
        <w:t>1</w:t>
      </w:r>
      <w:r>
        <w:rPr>
          <w:rFonts w:eastAsia="宋体"/>
          <w:b/>
          <w:bCs/>
          <w:color w:val="auto"/>
          <w:sz w:val="28"/>
          <w:szCs w:val="18"/>
          <w:highlight w:val="none"/>
        </w:rPr>
        <w:t xml:space="preserve">  坡头交通总体规划网络图</w:t>
      </w:r>
    </w:p>
    <w:p>
      <w:pPr>
        <w:bidi w:val="0"/>
        <w:rPr>
          <w:rFonts w:hint="eastAsia"/>
          <w:color w:val="auto"/>
          <w:highlight w:val="none"/>
        </w:rPr>
      </w:pPr>
      <w:r>
        <w:rPr>
          <w:rFonts w:hint="eastAsia"/>
          <w:b/>
          <w:bCs/>
          <w:color w:val="auto"/>
          <w:highlight w:val="none"/>
          <w:lang w:val="en-US" w:eastAsia="zh-CN"/>
        </w:rPr>
        <w:t>构建内外双循环</w:t>
      </w:r>
      <w:r>
        <w:rPr>
          <w:b/>
          <w:bCs/>
          <w:color w:val="auto"/>
          <w:highlight w:val="none"/>
        </w:rPr>
        <w:t>公路网络</w:t>
      </w:r>
      <w:r>
        <w:rPr>
          <w:rFonts w:hint="eastAsia"/>
          <w:b/>
          <w:bCs/>
          <w:color w:val="auto"/>
          <w:highlight w:val="none"/>
          <w:lang w:eastAsia="zh-CN"/>
        </w:rPr>
        <w:t>。</w:t>
      </w:r>
      <w:r>
        <w:rPr>
          <w:rFonts w:hint="eastAsia"/>
          <w:color w:val="auto"/>
          <w:highlight w:val="none"/>
          <w:lang w:val="en-US" w:eastAsia="zh-CN"/>
        </w:rPr>
        <w:t>打通坡头区内、区外路网双循环，</w:t>
      </w:r>
      <w:r>
        <w:rPr>
          <w:rFonts w:hint="eastAsia"/>
          <w:color w:val="auto"/>
          <w:highlight w:val="none"/>
        </w:rPr>
        <w:t>搭建全区“五横、五纵”主骨架公路网络，构建现代</w:t>
      </w:r>
      <w:r>
        <w:rPr>
          <w:rFonts w:hint="eastAsia"/>
          <w:color w:val="auto"/>
          <w:highlight w:val="none"/>
          <w:lang w:val="en-US" w:eastAsia="zh-CN"/>
        </w:rPr>
        <w:t>化</w:t>
      </w:r>
      <w:r>
        <w:rPr>
          <w:rFonts w:hint="eastAsia"/>
          <w:color w:val="auto"/>
          <w:highlight w:val="none"/>
        </w:rPr>
        <w:t>交通大架局。“五横”</w:t>
      </w:r>
      <w:r>
        <w:rPr>
          <w:rFonts w:hint="eastAsia"/>
          <w:color w:val="auto"/>
          <w:highlight w:val="none"/>
          <w:lang w:val="en-US" w:eastAsia="zh-CN"/>
        </w:rPr>
        <w:t>为</w:t>
      </w:r>
      <w:r>
        <w:rPr>
          <w:rFonts w:hint="eastAsia"/>
          <w:color w:val="auto"/>
          <w:highlight w:val="none"/>
        </w:rPr>
        <w:t>国道</w:t>
      </w:r>
      <w:r>
        <w:rPr>
          <w:rFonts w:hint="eastAsia" w:ascii="Times New Roman" w:hAnsi="Times New Roman"/>
          <w:color w:val="auto"/>
          <w:highlight w:val="none"/>
          <w:lang w:eastAsia="zh-CN"/>
        </w:rPr>
        <w:t>G228</w:t>
      </w:r>
      <w:r>
        <w:rPr>
          <w:rFonts w:hint="eastAsia"/>
          <w:color w:val="auto"/>
          <w:highlight w:val="none"/>
        </w:rPr>
        <w:t>线</w:t>
      </w:r>
      <w:r>
        <w:rPr>
          <w:rFonts w:hint="eastAsia"/>
          <w:color w:val="auto"/>
          <w:highlight w:val="none"/>
          <w:lang w:eastAsia="zh-CN"/>
        </w:rPr>
        <w:t>、</w:t>
      </w:r>
      <w:r>
        <w:rPr>
          <w:rFonts w:hint="eastAsia"/>
          <w:color w:val="auto"/>
          <w:highlight w:val="none"/>
        </w:rPr>
        <w:t>调顺跨海大桥及连接线、汕湛高速公路云浮至湛江段吴川支线（即机场高速）</w:t>
      </w:r>
      <w:r>
        <w:rPr>
          <w:rFonts w:hint="eastAsia"/>
          <w:color w:val="auto"/>
          <w:highlight w:val="none"/>
          <w:lang w:eastAsia="zh-CN"/>
        </w:rPr>
        <w:t>、</w:t>
      </w:r>
      <w:r>
        <w:rPr>
          <w:rFonts w:hint="eastAsia"/>
          <w:color w:val="auto"/>
          <w:highlight w:val="none"/>
        </w:rPr>
        <w:t>调顺至海东跨海隧道</w:t>
      </w:r>
      <w:r>
        <w:rPr>
          <w:rFonts w:hint="eastAsia"/>
          <w:color w:val="auto"/>
          <w:highlight w:val="none"/>
          <w:lang w:eastAsia="zh-CN"/>
        </w:rPr>
        <w:t>、</w:t>
      </w:r>
      <w:r>
        <w:rPr>
          <w:rFonts w:hint="eastAsia"/>
          <w:color w:val="auto"/>
          <w:highlight w:val="none"/>
        </w:rPr>
        <w:t>海川快线</w:t>
      </w:r>
      <w:r>
        <w:rPr>
          <w:rFonts w:hint="eastAsia"/>
          <w:color w:val="auto"/>
          <w:highlight w:val="none"/>
          <w:lang w:eastAsia="zh-CN"/>
        </w:rPr>
        <w:t>、</w:t>
      </w:r>
      <w:r>
        <w:rPr>
          <w:rFonts w:hint="eastAsia"/>
          <w:color w:val="auto"/>
          <w:highlight w:val="none"/>
        </w:rPr>
        <w:t>滨海旅游公路</w:t>
      </w:r>
      <w:r>
        <w:rPr>
          <w:rFonts w:hint="eastAsia"/>
          <w:color w:val="auto"/>
          <w:highlight w:val="none"/>
          <w:lang w:val="en-US" w:eastAsia="zh-CN"/>
        </w:rPr>
        <w:t>及南三岛支线</w:t>
      </w:r>
      <w:r>
        <w:rPr>
          <w:rFonts w:hint="eastAsia"/>
          <w:color w:val="auto"/>
          <w:highlight w:val="none"/>
          <w:lang w:eastAsia="zh-CN"/>
        </w:rPr>
        <w:t>；</w:t>
      </w:r>
      <w:r>
        <w:rPr>
          <w:rFonts w:hint="eastAsia"/>
          <w:color w:val="auto"/>
          <w:highlight w:val="none"/>
        </w:rPr>
        <w:t>“五纵”即</w:t>
      </w:r>
      <w:r>
        <w:rPr>
          <w:rFonts w:hint="eastAsia"/>
          <w:color w:val="auto"/>
          <w:highlight w:val="none"/>
          <w:lang w:val="en-US" w:eastAsia="zh-CN"/>
        </w:rPr>
        <w:t>龙王湾路—军港大道</w:t>
      </w:r>
      <w:r>
        <w:rPr>
          <w:rFonts w:hint="eastAsia"/>
          <w:color w:val="auto"/>
          <w:highlight w:val="none"/>
          <w:lang w:eastAsia="zh-CN"/>
        </w:rPr>
        <w:t>、</w:t>
      </w:r>
      <w:r>
        <w:rPr>
          <w:rFonts w:hint="eastAsia"/>
          <w:color w:val="auto"/>
          <w:highlight w:val="none"/>
        </w:rPr>
        <w:t>东盛大道、</w:t>
      </w:r>
      <w:r>
        <w:rPr>
          <w:rFonts w:hint="eastAsia"/>
          <w:color w:val="auto"/>
          <w:highlight w:val="none"/>
          <w:lang w:val="en-US" w:eastAsia="zh-CN"/>
        </w:rPr>
        <w:t>东祥</w:t>
      </w:r>
      <w:r>
        <w:rPr>
          <w:rFonts w:hint="eastAsia"/>
          <w:color w:val="auto"/>
          <w:highlight w:val="none"/>
        </w:rPr>
        <w:t>大道</w:t>
      </w:r>
      <w:r>
        <w:rPr>
          <w:rFonts w:hint="eastAsia"/>
          <w:color w:val="auto"/>
          <w:highlight w:val="none"/>
          <w:lang w:eastAsia="zh-CN"/>
        </w:rPr>
        <w:t>、</w:t>
      </w:r>
      <w:r>
        <w:rPr>
          <w:rFonts w:hint="eastAsia"/>
          <w:color w:val="auto"/>
          <w:highlight w:val="none"/>
        </w:rPr>
        <w:t>海东快线</w:t>
      </w:r>
      <w:r>
        <w:rPr>
          <w:rFonts w:hint="eastAsia"/>
          <w:color w:val="auto"/>
          <w:highlight w:val="none"/>
          <w:lang w:eastAsia="zh-CN"/>
        </w:rPr>
        <w:t>、</w:t>
      </w:r>
      <w:r>
        <w:rPr>
          <w:rFonts w:hint="eastAsia"/>
          <w:color w:val="auto"/>
          <w:highlight w:val="none"/>
        </w:rPr>
        <w:t>东强快线</w:t>
      </w:r>
      <w:r>
        <w:rPr>
          <w:rFonts w:hint="eastAsia"/>
          <w:color w:val="auto"/>
          <w:highlight w:val="none"/>
          <w:lang w:eastAsia="zh-CN"/>
        </w:rPr>
        <w:t>、</w:t>
      </w:r>
      <w:r>
        <w:rPr>
          <w:rFonts w:hint="eastAsia"/>
          <w:color w:val="auto"/>
          <w:highlight w:val="none"/>
        </w:rPr>
        <w:t>云湛高速、湛江环城高速南三岛连接线，</w:t>
      </w:r>
      <w:r>
        <w:rPr>
          <w:rFonts w:hint="eastAsia"/>
          <w:color w:val="auto"/>
          <w:highlight w:val="none"/>
          <w:lang w:val="en-US" w:eastAsia="zh-CN"/>
        </w:rPr>
        <w:t>打造</w:t>
      </w:r>
      <w:r>
        <w:rPr>
          <w:rFonts w:hint="eastAsia"/>
          <w:color w:val="auto"/>
          <w:highlight w:val="none"/>
        </w:rPr>
        <w:t>形成环坡头区主骨架公路网络的建设。</w:t>
      </w:r>
    </w:p>
    <w:p>
      <w:pPr>
        <w:ind w:firstLine="640"/>
        <w:rPr>
          <w:rFonts w:hint="eastAsia"/>
          <w:color w:val="auto"/>
          <w:highlight w:val="none"/>
          <w:lang w:eastAsia="zh-CN"/>
        </w:rPr>
      </w:pPr>
      <w:r>
        <w:rPr>
          <w:rFonts w:hint="eastAsia"/>
          <w:b/>
          <w:bCs/>
          <w:color w:val="auto"/>
          <w:highlight w:val="none"/>
          <w:lang w:val="en-US" w:eastAsia="zh-CN"/>
        </w:rPr>
        <w:t>推进农村公路建设。</w:t>
      </w:r>
      <w:r>
        <w:rPr>
          <w:rFonts w:hint="eastAsia"/>
          <w:b w:val="0"/>
          <w:bCs w:val="0"/>
          <w:color w:val="auto"/>
          <w:highlight w:val="none"/>
          <w:lang w:val="en-US" w:eastAsia="zh-CN"/>
        </w:rPr>
        <w:t>加快建设乾龙公路，</w:t>
      </w:r>
      <w:r>
        <w:rPr>
          <w:rFonts w:hint="eastAsia"/>
          <w:color w:val="auto"/>
          <w:highlight w:val="none"/>
          <w:lang w:eastAsia="zh-CN"/>
        </w:rPr>
        <w:t>建设省道</w:t>
      </w:r>
      <w:r>
        <w:rPr>
          <w:rFonts w:hint="eastAsia" w:ascii="Times New Roman" w:hAnsi="Times New Roman"/>
          <w:color w:val="auto"/>
          <w:highlight w:val="none"/>
          <w:lang w:eastAsia="zh-CN"/>
        </w:rPr>
        <w:t>286</w:t>
      </w:r>
      <w:r>
        <w:rPr>
          <w:rFonts w:hint="eastAsia"/>
          <w:color w:val="auto"/>
          <w:highlight w:val="none"/>
          <w:lang w:eastAsia="zh-CN"/>
        </w:rPr>
        <w:t>线南三岛北涯至南三林场段，升级改造省道</w:t>
      </w:r>
      <w:r>
        <w:rPr>
          <w:rFonts w:hint="eastAsia" w:ascii="Times New Roman" w:hAnsi="Times New Roman"/>
          <w:color w:val="auto"/>
          <w:highlight w:val="none"/>
          <w:lang w:eastAsia="zh-CN"/>
        </w:rPr>
        <w:t>S286</w:t>
      </w:r>
      <w:r>
        <w:rPr>
          <w:rFonts w:hint="eastAsia"/>
          <w:color w:val="auto"/>
          <w:highlight w:val="none"/>
          <w:lang w:eastAsia="zh-CN"/>
        </w:rPr>
        <w:t>线廉江平坦至坡头镇段改建工程，</w:t>
      </w:r>
      <w:r>
        <w:rPr>
          <w:rFonts w:hint="eastAsia"/>
          <w:color w:val="auto"/>
          <w:highlight w:val="none"/>
          <w:lang w:val="en-US" w:eastAsia="zh-CN"/>
        </w:rPr>
        <w:t>推进</w:t>
      </w:r>
      <w:r>
        <w:rPr>
          <w:rFonts w:hint="eastAsia"/>
          <w:color w:val="auto"/>
          <w:highlight w:val="none"/>
          <w:lang w:eastAsia="zh-CN"/>
        </w:rPr>
        <w:t>省道</w:t>
      </w:r>
      <w:r>
        <w:rPr>
          <w:rFonts w:hint="eastAsia" w:ascii="Times New Roman" w:hAnsi="Times New Roman"/>
          <w:color w:val="auto"/>
          <w:highlight w:val="none"/>
          <w:lang w:eastAsia="zh-CN"/>
        </w:rPr>
        <w:t>S284</w:t>
      </w:r>
      <w:r>
        <w:rPr>
          <w:rFonts w:hint="eastAsia"/>
          <w:color w:val="auto"/>
          <w:highlight w:val="none"/>
          <w:lang w:eastAsia="zh-CN"/>
        </w:rPr>
        <w:t>线、海川大道扩建工程。</w:t>
      </w:r>
      <w:r>
        <w:rPr>
          <w:rFonts w:hint="eastAsia"/>
          <w:b w:val="0"/>
          <w:bCs w:val="0"/>
          <w:color w:val="auto"/>
          <w:highlight w:val="none"/>
          <w:lang w:val="en-US" w:eastAsia="zh-CN"/>
        </w:rPr>
        <w:t>推动</w:t>
      </w:r>
      <w:r>
        <w:rPr>
          <w:rFonts w:hint="eastAsia"/>
          <w:color w:val="auto"/>
          <w:highlight w:val="none"/>
        </w:rPr>
        <w:t>县道升级改造</w:t>
      </w:r>
      <w:r>
        <w:rPr>
          <w:rFonts w:hint="eastAsia"/>
          <w:color w:val="auto"/>
          <w:highlight w:val="none"/>
          <w:lang w:eastAsia="zh-CN"/>
        </w:rPr>
        <w:t>、</w:t>
      </w:r>
      <w:r>
        <w:rPr>
          <w:rFonts w:hint="eastAsia"/>
          <w:color w:val="auto"/>
          <w:highlight w:val="none"/>
        </w:rPr>
        <w:t>农村公路路面硬底化建设</w:t>
      </w:r>
      <w:r>
        <w:rPr>
          <w:rFonts w:hint="eastAsia"/>
          <w:color w:val="auto"/>
          <w:highlight w:val="none"/>
          <w:lang w:val="en-US" w:eastAsia="zh-CN"/>
        </w:rPr>
        <w:t>及</w:t>
      </w:r>
      <w:r>
        <w:rPr>
          <w:rFonts w:hint="eastAsia"/>
          <w:color w:val="auto"/>
          <w:highlight w:val="none"/>
        </w:rPr>
        <w:t>危桥改造工程</w:t>
      </w:r>
      <w:r>
        <w:rPr>
          <w:rFonts w:hint="eastAsia"/>
          <w:color w:val="auto"/>
          <w:highlight w:val="none"/>
          <w:lang w:eastAsia="zh-CN"/>
        </w:rPr>
        <w:t>。</w:t>
      </w:r>
      <w:r>
        <w:rPr>
          <w:rFonts w:hint="eastAsia"/>
          <w:color w:val="auto"/>
          <w:highlight w:val="none"/>
          <w:lang w:val="en-US" w:eastAsia="zh-CN"/>
        </w:rPr>
        <w:t>推进</w:t>
      </w:r>
      <w:r>
        <w:rPr>
          <w:rFonts w:hint="eastAsia"/>
          <w:color w:val="auto"/>
          <w:highlight w:val="none"/>
          <w:lang w:eastAsia="zh-CN"/>
        </w:rPr>
        <w:t>坡头区南三镇县道、坡头镇县道乾平线、坡头区南三镇、龙头镇</w:t>
      </w:r>
      <w:r>
        <w:rPr>
          <w:rFonts w:hint="eastAsia"/>
          <w:color w:val="auto"/>
          <w:highlight w:val="none"/>
          <w:lang w:val="en-US" w:eastAsia="zh-CN"/>
        </w:rPr>
        <w:t>和</w:t>
      </w:r>
      <w:r>
        <w:rPr>
          <w:rFonts w:hint="eastAsia"/>
          <w:color w:val="auto"/>
          <w:highlight w:val="none"/>
          <w:lang w:eastAsia="zh-CN"/>
        </w:rPr>
        <w:t>官渡镇县道新线、坡头区龙头镇乡道</w:t>
      </w:r>
      <w:r>
        <w:rPr>
          <w:rFonts w:hint="eastAsia" w:ascii="Times New Roman" w:hAnsi="Times New Roman"/>
          <w:color w:val="auto"/>
          <w:highlight w:val="none"/>
          <w:lang w:eastAsia="zh-CN"/>
        </w:rPr>
        <w:t>Y444</w:t>
      </w:r>
      <w:r>
        <w:rPr>
          <w:rFonts w:hint="eastAsia"/>
          <w:color w:val="auto"/>
          <w:highlight w:val="none"/>
          <w:lang w:eastAsia="zh-CN"/>
        </w:rPr>
        <w:t>线路</w:t>
      </w:r>
      <w:r>
        <w:rPr>
          <w:rFonts w:hint="eastAsia"/>
          <w:color w:val="auto"/>
          <w:highlight w:val="none"/>
          <w:lang w:val="en-US" w:eastAsia="zh-CN"/>
        </w:rPr>
        <w:t>等农村四好公路</w:t>
      </w:r>
      <w:r>
        <w:rPr>
          <w:rFonts w:hint="eastAsia"/>
          <w:color w:val="auto"/>
          <w:highlight w:val="none"/>
          <w:lang w:eastAsia="zh-CN"/>
        </w:rPr>
        <w:t>升级</w:t>
      </w:r>
      <w:r>
        <w:rPr>
          <w:rFonts w:hint="eastAsia"/>
          <w:color w:val="auto"/>
          <w:highlight w:val="none"/>
          <w:lang w:val="en-US" w:eastAsia="zh-CN"/>
        </w:rPr>
        <w:t>改造。</w:t>
      </w:r>
    </w:p>
    <w:p>
      <w:pPr>
        <w:bidi w:val="0"/>
        <w:rPr>
          <w:rFonts w:hint="eastAsia"/>
          <w:color w:val="auto"/>
          <w:highlight w:val="none"/>
          <w:lang w:eastAsia="zh-CN"/>
        </w:rPr>
      </w:pPr>
      <w:r>
        <w:rPr>
          <w:rFonts w:hint="eastAsia"/>
          <w:b/>
          <w:bCs/>
          <w:color w:val="auto"/>
          <w:highlight w:val="none"/>
          <w:lang w:val="en-US" w:eastAsia="zh-CN"/>
        </w:rPr>
        <w:t>推动</w:t>
      </w:r>
      <w:r>
        <w:rPr>
          <w:rFonts w:hint="eastAsia"/>
          <w:b/>
          <w:bCs/>
          <w:color w:val="auto"/>
          <w:highlight w:val="none"/>
          <w:lang w:eastAsia="zh-CN"/>
        </w:rPr>
        <w:t>跨海大桥及海底隧道建设。</w:t>
      </w:r>
      <w:r>
        <w:rPr>
          <w:rFonts w:hint="eastAsia"/>
          <w:color w:val="auto"/>
          <w:highlight w:val="none"/>
          <w:lang w:val="en-US" w:eastAsia="zh-CN"/>
        </w:rPr>
        <w:t>加快</w:t>
      </w:r>
      <w:r>
        <w:rPr>
          <w:rFonts w:hint="eastAsia"/>
          <w:color w:val="auto"/>
          <w:highlight w:val="none"/>
          <w:lang w:eastAsia="zh-CN"/>
        </w:rPr>
        <w:t>调顺跨海大桥及连接线</w:t>
      </w:r>
      <w:r>
        <w:rPr>
          <w:rFonts w:hint="eastAsia"/>
          <w:color w:val="auto"/>
          <w:highlight w:val="none"/>
          <w:lang w:val="en-US" w:eastAsia="zh-CN"/>
        </w:rPr>
        <w:t>建设</w:t>
      </w:r>
      <w:r>
        <w:rPr>
          <w:rFonts w:hint="eastAsia"/>
          <w:color w:val="auto"/>
          <w:highlight w:val="none"/>
          <w:lang w:eastAsia="zh-CN"/>
        </w:rPr>
        <w:t>，</w:t>
      </w:r>
      <w:r>
        <w:rPr>
          <w:rFonts w:hint="eastAsia"/>
          <w:color w:val="auto"/>
          <w:highlight w:val="none"/>
          <w:lang w:val="en-US" w:eastAsia="zh-CN"/>
        </w:rPr>
        <w:t>推动</w:t>
      </w:r>
      <w:r>
        <w:rPr>
          <w:rFonts w:hint="eastAsia" w:ascii="仿宋" w:hAnsi="仿宋" w:eastAsia="仿宋" w:cs="仿宋"/>
          <w:color w:val="auto"/>
          <w:highlight w:val="none"/>
        </w:rPr>
        <w:t>东海岛</w:t>
      </w:r>
      <w:r>
        <w:rPr>
          <w:rFonts w:hint="eastAsia" w:ascii="仿宋" w:hAnsi="仿宋" w:cs="仿宋"/>
          <w:color w:val="auto"/>
          <w:highlight w:val="none"/>
          <w:lang w:val="en-US" w:eastAsia="zh-CN"/>
        </w:rPr>
        <w:t>至</w:t>
      </w:r>
      <w:r>
        <w:rPr>
          <w:rFonts w:hint="eastAsia" w:ascii="仿宋" w:hAnsi="仿宋" w:eastAsia="仿宋" w:cs="仿宋"/>
          <w:color w:val="auto"/>
          <w:highlight w:val="none"/>
        </w:rPr>
        <w:t>南三岛海底隧道启动建设，</w:t>
      </w:r>
      <w:r>
        <w:rPr>
          <w:rFonts w:hint="eastAsia"/>
          <w:color w:val="auto"/>
          <w:highlight w:val="none"/>
          <w:lang w:eastAsia="zh-CN"/>
        </w:rPr>
        <w:t>规划调顺至海东跨海隧道，启动建设霞山至南三岛隧道</w:t>
      </w:r>
      <w:r>
        <w:rPr>
          <w:rFonts w:hint="eastAsia"/>
          <w:color w:val="auto"/>
          <w:highlight w:val="none"/>
          <w:lang w:val="en-US" w:eastAsia="zh-CN"/>
        </w:rPr>
        <w:t>规划建设</w:t>
      </w:r>
      <w:r>
        <w:rPr>
          <w:rFonts w:hint="eastAsia"/>
          <w:color w:val="auto"/>
          <w:highlight w:val="none"/>
          <w:lang w:eastAsia="zh-CN"/>
        </w:rPr>
        <w:t>。</w:t>
      </w:r>
      <w:r>
        <w:rPr>
          <w:rFonts w:hint="eastAsia" w:ascii="仿宋" w:hAnsi="仿宋" w:eastAsia="仿宋" w:cs="仿宋"/>
          <w:color w:val="auto"/>
          <w:highlight w:val="none"/>
        </w:rPr>
        <w:t>规划论证湛江内港湾东西两岸海底隧道，实现坡头与主城区真正无缝对接。</w:t>
      </w:r>
    </w:p>
    <w:p>
      <w:pPr>
        <w:bidi w:val="0"/>
        <w:rPr>
          <w:rFonts w:hint="default" w:ascii="仿宋" w:hAnsi="仿宋" w:cs="仿宋"/>
          <w:color w:val="auto"/>
          <w:highlight w:val="none"/>
          <w:lang w:val="en-US" w:eastAsia="zh-CN"/>
        </w:rPr>
      </w:pPr>
      <w:r>
        <w:rPr>
          <w:rFonts w:hint="eastAsia"/>
          <w:b/>
          <w:bCs/>
          <w:color w:val="auto"/>
          <w:highlight w:val="none"/>
          <w:lang w:val="en-US" w:eastAsia="zh-CN"/>
        </w:rPr>
        <w:t>加快建设</w:t>
      </w:r>
      <w:r>
        <w:rPr>
          <w:rFonts w:hint="eastAsia"/>
          <w:b/>
          <w:bCs/>
          <w:color w:val="auto"/>
          <w:highlight w:val="none"/>
          <w:lang w:eastAsia="zh-CN"/>
        </w:rPr>
        <w:t>高铁</w:t>
      </w:r>
      <w:r>
        <w:rPr>
          <w:rFonts w:hint="eastAsia"/>
          <w:b/>
          <w:bCs/>
          <w:color w:val="auto"/>
          <w:highlight w:val="none"/>
          <w:lang w:val="en-US" w:eastAsia="zh-CN"/>
        </w:rPr>
        <w:t>东</w:t>
      </w:r>
      <w:r>
        <w:rPr>
          <w:rFonts w:hint="eastAsia"/>
          <w:b/>
          <w:bCs/>
          <w:color w:val="auto"/>
          <w:highlight w:val="none"/>
          <w:lang w:eastAsia="zh-CN"/>
        </w:rPr>
        <w:t>站。</w:t>
      </w:r>
      <w:r>
        <w:rPr>
          <w:rFonts w:hint="eastAsia" w:ascii="仿宋" w:hAnsi="仿宋" w:eastAsia="仿宋" w:cs="仿宋"/>
          <w:color w:val="auto"/>
          <w:highlight w:val="none"/>
        </w:rPr>
        <w:t>加快广湛高铁建设，同步推进高铁东站建设，积极融进珠三角两小时交通圈</w:t>
      </w:r>
      <w:r>
        <w:rPr>
          <w:rFonts w:hint="eastAsia" w:ascii="仿宋" w:hAnsi="仿宋" w:cs="仿宋"/>
          <w:color w:val="auto"/>
          <w:highlight w:val="none"/>
          <w:lang w:eastAsia="zh-CN"/>
        </w:rPr>
        <w:t>。建设以高铁</w:t>
      </w:r>
      <w:r>
        <w:rPr>
          <w:rFonts w:hint="eastAsia" w:ascii="仿宋" w:hAnsi="仿宋" w:cs="仿宋"/>
          <w:color w:val="auto"/>
          <w:highlight w:val="none"/>
          <w:lang w:val="en-US" w:eastAsia="zh-CN"/>
        </w:rPr>
        <w:t>东站</w:t>
      </w:r>
      <w:r>
        <w:rPr>
          <w:rFonts w:hint="eastAsia" w:ascii="仿宋" w:hAnsi="仿宋" w:cs="仿宋"/>
          <w:color w:val="auto"/>
          <w:highlight w:val="none"/>
          <w:lang w:eastAsia="zh-CN"/>
        </w:rPr>
        <w:t>为核心的“便捷、高效、绿色”的综合交通体系，实现高铁枢纽集疏运交通的快速集散、高铁片区空间和功能的高效支撑。聚焦枢纽经济，抓住高铁时代新机遇，推动高铁站片区规划设计与施工计划的高度融合和无缝对接，将城市路网纳入高铁配套建设，构建畅通大湾区的快速综合交通体系，打造</w:t>
      </w:r>
      <w:r>
        <w:rPr>
          <w:rFonts w:hint="eastAsia" w:ascii="仿宋" w:hAnsi="仿宋" w:cs="仿宋"/>
          <w:color w:val="auto"/>
          <w:highlight w:val="none"/>
          <w:lang w:val="en-US" w:eastAsia="zh-CN"/>
        </w:rPr>
        <w:t>形</w:t>
      </w:r>
      <w:r>
        <w:rPr>
          <w:rFonts w:hint="eastAsia" w:ascii="仿宋" w:hAnsi="仿宋" w:cs="仿宋"/>
          <w:color w:val="auto"/>
          <w:highlight w:val="none"/>
          <w:lang w:eastAsia="zh-CN"/>
        </w:rPr>
        <w:t>成集旅游集散、商业商贸于一体的</w:t>
      </w:r>
      <w:r>
        <w:rPr>
          <w:rFonts w:hint="eastAsia" w:ascii="仿宋" w:hAnsi="仿宋" w:cs="仿宋"/>
          <w:color w:val="auto"/>
          <w:highlight w:val="none"/>
          <w:lang w:val="en-US" w:eastAsia="zh-CN"/>
        </w:rPr>
        <w:t>高铁</w:t>
      </w:r>
      <w:r>
        <w:rPr>
          <w:rFonts w:hint="eastAsia" w:ascii="仿宋" w:hAnsi="仿宋" w:cs="仿宋"/>
          <w:color w:val="auto"/>
          <w:highlight w:val="none"/>
          <w:lang w:eastAsia="zh-CN"/>
        </w:rPr>
        <w:t>新</w:t>
      </w:r>
      <w:r>
        <w:rPr>
          <w:rFonts w:hint="eastAsia" w:ascii="仿宋" w:hAnsi="仿宋" w:cs="仿宋"/>
          <w:color w:val="auto"/>
          <w:highlight w:val="none"/>
          <w:lang w:val="en-US" w:eastAsia="zh-CN"/>
        </w:rPr>
        <w:t>城</w:t>
      </w:r>
      <w:r>
        <w:rPr>
          <w:rFonts w:hint="eastAsia" w:ascii="仿宋" w:hAnsi="仿宋" w:cs="仿宋"/>
          <w:color w:val="auto"/>
          <w:highlight w:val="none"/>
          <w:lang w:eastAsia="zh-CN"/>
        </w:rPr>
        <w:t>区。</w:t>
      </w:r>
      <w:r>
        <w:rPr>
          <w:rFonts w:hint="eastAsia" w:ascii="仿宋" w:hAnsi="仿宋" w:cs="仿宋"/>
          <w:color w:val="auto"/>
          <w:highlight w:val="none"/>
          <w:lang w:val="en-US" w:eastAsia="zh-CN"/>
        </w:rPr>
        <w:t>高铁</w:t>
      </w:r>
      <w:r>
        <w:rPr>
          <w:rFonts w:hint="eastAsia" w:ascii="仿宋" w:hAnsi="仿宋" w:cs="仿宋"/>
          <w:color w:val="auto"/>
          <w:highlight w:val="none"/>
          <w:lang w:eastAsia="zh-CN"/>
        </w:rPr>
        <w:t>东站将带动</w:t>
      </w:r>
      <w:r>
        <w:rPr>
          <w:rFonts w:hint="eastAsia" w:ascii="仿宋" w:hAnsi="仿宋" w:cs="仿宋"/>
          <w:color w:val="auto"/>
          <w:highlight w:val="none"/>
          <w:lang w:val="en-US" w:eastAsia="zh-CN"/>
        </w:rPr>
        <w:t>坡头</w:t>
      </w:r>
      <w:r>
        <w:rPr>
          <w:rFonts w:hint="eastAsia" w:ascii="仿宋" w:hAnsi="仿宋" w:cs="仿宋"/>
          <w:color w:val="auto"/>
          <w:highlight w:val="none"/>
          <w:lang w:eastAsia="zh-CN"/>
        </w:rPr>
        <w:t>与粤港</w:t>
      </w:r>
      <w:r>
        <w:rPr>
          <w:rFonts w:hint="eastAsia" w:ascii="仿宋" w:hAnsi="仿宋" w:cs="仿宋"/>
          <w:color w:val="auto"/>
          <w:highlight w:val="none"/>
          <w:lang w:val="en-US" w:eastAsia="zh-CN"/>
        </w:rPr>
        <w:t>澳</w:t>
      </w:r>
      <w:r>
        <w:rPr>
          <w:rFonts w:hint="eastAsia" w:ascii="仿宋" w:hAnsi="仿宋" w:cs="仿宋"/>
          <w:color w:val="auto"/>
          <w:highlight w:val="none"/>
          <w:lang w:eastAsia="zh-CN"/>
        </w:rPr>
        <w:t>大湾区、粤西城市及北部湾城地区城市之间大量高端商务出行客流，</w:t>
      </w:r>
      <w:r>
        <w:rPr>
          <w:rFonts w:hint="eastAsia" w:ascii="仿宋" w:hAnsi="仿宋" w:cs="仿宋"/>
          <w:color w:val="auto"/>
          <w:highlight w:val="none"/>
          <w:lang w:val="en-US" w:eastAsia="zh-CN"/>
        </w:rPr>
        <w:t>促进海东新区高质量发展。</w:t>
      </w:r>
    </w:p>
    <w:p>
      <w:pPr>
        <w:bidi w:val="0"/>
        <w:rPr>
          <w:color w:val="auto"/>
          <w:highlight w:val="none"/>
        </w:rPr>
      </w:pPr>
      <w:r>
        <w:rPr>
          <w:b/>
          <w:bCs/>
          <w:color w:val="auto"/>
          <w:highlight w:val="none"/>
        </w:rPr>
        <w:t>加强公共交通保障能力</w:t>
      </w:r>
      <w:r>
        <w:rPr>
          <w:rFonts w:hint="eastAsia"/>
          <w:b/>
          <w:bCs/>
          <w:color w:val="auto"/>
          <w:highlight w:val="none"/>
          <w:lang w:eastAsia="zh-CN"/>
        </w:rPr>
        <w:t>。</w:t>
      </w:r>
      <w:r>
        <w:rPr>
          <w:rFonts w:hint="eastAsia" w:ascii="仿宋" w:hAnsi="仿宋" w:cs="仿宋"/>
          <w:color w:val="auto"/>
          <w:highlight w:val="none"/>
        </w:rPr>
        <w:t>优先发展城市公共交通，构建智能化交通工程，建立健全车载</w:t>
      </w:r>
      <w:r>
        <w:rPr>
          <w:rFonts w:hint="eastAsia" w:ascii="Times New Roman" w:hAnsi="Times New Roman" w:cs="仿宋"/>
          <w:color w:val="auto"/>
          <w:highlight w:val="none"/>
          <w:lang w:eastAsia="zh-CN"/>
        </w:rPr>
        <w:t>GPS</w:t>
      </w:r>
      <w:r>
        <w:rPr>
          <w:rFonts w:hint="eastAsia" w:ascii="仿宋" w:hAnsi="仿宋" w:cs="仿宋"/>
          <w:color w:val="auto"/>
          <w:highlight w:val="none"/>
        </w:rPr>
        <w:t>智能监控系统，覆盖全区所有营运客、货车辆；</w:t>
      </w:r>
      <w:r>
        <w:rPr>
          <w:color w:val="auto"/>
          <w:highlight w:val="none"/>
        </w:rPr>
        <w:t>加强对城市公共交通保障</w:t>
      </w:r>
      <w:r>
        <w:rPr>
          <w:rFonts w:hint="eastAsia" w:ascii="仿宋" w:hAnsi="仿宋" w:cs="仿宋"/>
          <w:color w:val="auto"/>
          <w:highlight w:val="none"/>
        </w:rPr>
        <w:t>能力建设。推动智能船舶海上试验场南三岛综合保障基地建设</w:t>
      </w:r>
      <w:r>
        <w:rPr>
          <w:rFonts w:hint="eastAsia" w:ascii="仿宋" w:hAnsi="仿宋" w:cs="仿宋"/>
          <w:color w:val="auto"/>
          <w:highlight w:val="none"/>
          <w:lang w:eastAsia="zh-CN"/>
        </w:rPr>
        <w:t>。</w:t>
      </w:r>
      <w:r>
        <w:rPr>
          <w:rFonts w:hint="eastAsia" w:ascii="仿宋" w:hAnsi="仿宋" w:cs="仿宋"/>
          <w:color w:val="auto"/>
          <w:highlight w:val="none"/>
        </w:rPr>
        <w:t>“十四五”期间</w:t>
      </w:r>
      <w:r>
        <w:rPr>
          <w:rFonts w:hint="eastAsia"/>
          <w:color w:val="auto"/>
          <w:highlight w:val="none"/>
          <w:lang w:eastAsia="zh-CN"/>
        </w:rPr>
        <w:t>，优化新增公交线路</w:t>
      </w:r>
      <w:r>
        <w:rPr>
          <w:rFonts w:hint="eastAsia" w:ascii="Times New Roman" w:hAnsi="Times New Roman"/>
          <w:color w:val="auto"/>
          <w:highlight w:val="none"/>
          <w:lang w:eastAsia="zh-CN"/>
        </w:rPr>
        <w:t>3</w:t>
      </w:r>
      <w:r>
        <w:rPr>
          <w:rFonts w:hint="eastAsia"/>
          <w:color w:val="auto"/>
          <w:highlight w:val="none"/>
          <w:lang w:eastAsia="zh-CN"/>
        </w:rPr>
        <w:t>条，规划建设公交站台</w:t>
      </w:r>
      <w:r>
        <w:rPr>
          <w:rFonts w:hint="eastAsia" w:ascii="Times New Roman" w:hAnsi="Times New Roman"/>
          <w:color w:val="auto"/>
          <w:highlight w:val="none"/>
          <w:lang w:eastAsia="zh-CN"/>
        </w:rPr>
        <w:t>20</w:t>
      </w:r>
      <w:r>
        <w:rPr>
          <w:rFonts w:hint="eastAsia"/>
          <w:color w:val="auto"/>
          <w:highlight w:val="none"/>
          <w:lang w:eastAsia="zh-CN"/>
        </w:rPr>
        <w:t>个，新建新能源公交充电桩</w:t>
      </w:r>
      <w:r>
        <w:rPr>
          <w:rFonts w:hint="eastAsia" w:ascii="Times New Roman" w:hAnsi="Times New Roman"/>
          <w:color w:val="auto"/>
          <w:highlight w:val="none"/>
          <w:lang w:eastAsia="zh-CN"/>
        </w:rPr>
        <w:t>20</w:t>
      </w:r>
      <w:r>
        <w:rPr>
          <w:rFonts w:hint="eastAsia"/>
          <w:color w:val="auto"/>
          <w:highlight w:val="none"/>
          <w:lang w:eastAsia="zh-CN"/>
        </w:rPr>
        <w:t>个，新增新能源公交车</w:t>
      </w:r>
      <w:r>
        <w:rPr>
          <w:rFonts w:hint="eastAsia" w:ascii="Times New Roman" w:hAnsi="Times New Roman"/>
          <w:color w:val="auto"/>
          <w:highlight w:val="none"/>
          <w:lang w:eastAsia="zh-CN"/>
        </w:rPr>
        <w:t>50</w:t>
      </w:r>
      <w:r>
        <w:rPr>
          <w:rFonts w:hint="eastAsia"/>
          <w:color w:val="auto"/>
          <w:highlight w:val="none"/>
          <w:lang w:eastAsia="zh-CN"/>
        </w:rPr>
        <w:t>台，规划建设公交枢纽站，</w:t>
      </w:r>
      <w:r>
        <w:rPr>
          <w:rFonts w:hint="eastAsia"/>
          <w:color w:val="auto"/>
          <w:highlight w:val="none"/>
          <w:lang w:val="en-US" w:eastAsia="zh-CN"/>
        </w:rPr>
        <w:t>力争和高铁</w:t>
      </w:r>
      <w:r>
        <w:rPr>
          <w:rFonts w:hint="eastAsia"/>
          <w:color w:val="auto"/>
          <w:highlight w:val="none"/>
          <w:lang w:eastAsia="zh-CN"/>
        </w:rPr>
        <w:t>东站同步建成，</w:t>
      </w:r>
      <w:r>
        <w:rPr>
          <w:rFonts w:hint="eastAsia"/>
          <w:color w:val="auto"/>
          <w:highlight w:val="none"/>
          <w:lang w:val="en-US" w:eastAsia="zh-CN"/>
        </w:rPr>
        <w:t>加</w:t>
      </w:r>
      <w:r>
        <w:rPr>
          <w:rFonts w:hint="eastAsia" w:ascii="仿宋" w:hAnsi="仿宋" w:cs="仿宋"/>
          <w:color w:val="auto"/>
          <w:highlight w:val="none"/>
        </w:rPr>
        <w:t>强客运基础设施的投资建设，全区实现层次化的综合客运枢纽。</w:t>
      </w:r>
      <w:r>
        <w:rPr>
          <w:color w:val="auto"/>
          <w:highlight w:val="none"/>
        </w:rPr>
        <w:t>加大城市公交基础设施建设力度，完善公交枢纽站和首末站体系的建设，对区内老旧公交站亭、站牌、站杆，进行统一的规划更新，努力实现对城区公交实行无人售票；全面推进建设绿色交通，打造低碳脚印城市，鼓励</w:t>
      </w:r>
      <w:r>
        <w:rPr>
          <w:rFonts w:hint="eastAsia" w:ascii="仿宋" w:hAnsi="仿宋" w:cs="仿宋"/>
          <w:color w:val="auto"/>
          <w:highlight w:val="none"/>
        </w:rPr>
        <w:t>公交企业在更新或新增车辆采用新能源车辆，</w:t>
      </w:r>
      <w:r>
        <w:rPr>
          <w:rFonts w:hint="eastAsia" w:ascii="仿宋" w:hAnsi="仿宋" w:cs="仿宋"/>
          <w:color w:val="auto"/>
          <w:highlight w:val="none"/>
          <w:lang w:val="en-US" w:eastAsia="zh-CN"/>
        </w:rPr>
        <w:t>到</w:t>
      </w:r>
      <w:r>
        <w:rPr>
          <w:rFonts w:hint="eastAsia" w:ascii="Times New Roman" w:hAnsi="Times New Roman" w:cs="仿宋"/>
          <w:color w:val="auto"/>
          <w:highlight w:val="none"/>
          <w:lang w:eastAsia="zh-CN"/>
        </w:rPr>
        <w:t>2025</w:t>
      </w:r>
      <w:r>
        <w:rPr>
          <w:rFonts w:hint="eastAsia" w:ascii="仿宋" w:hAnsi="仿宋" w:cs="仿宋"/>
          <w:color w:val="auto"/>
          <w:highlight w:val="none"/>
        </w:rPr>
        <w:t>年全区新能源</w:t>
      </w:r>
      <w:r>
        <w:rPr>
          <w:rFonts w:hint="eastAsia" w:ascii="仿宋" w:hAnsi="仿宋" w:cs="仿宋"/>
          <w:color w:val="auto"/>
          <w:highlight w:val="none"/>
          <w:lang w:val="en-US" w:eastAsia="zh-CN"/>
        </w:rPr>
        <w:t>公交</w:t>
      </w:r>
      <w:r>
        <w:rPr>
          <w:rFonts w:hint="eastAsia" w:ascii="仿宋" w:hAnsi="仿宋" w:cs="仿宋"/>
          <w:color w:val="auto"/>
          <w:highlight w:val="none"/>
        </w:rPr>
        <w:t>车辆占比达到</w:t>
      </w:r>
      <w:r>
        <w:rPr>
          <w:rFonts w:hint="eastAsia" w:ascii="Times New Roman" w:hAnsi="Times New Roman" w:cs="仿宋"/>
          <w:color w:val="auto"/>
          <w:highlight w:val="none"/>
          <w:lang w:val="en-US" w:eastAsia="zh-CN"/>
        </w:rPr>
        <w:t>10</w:t>
      </w:r>
      <w:r>
        <w:rPr>
          <w:rFonts w:hint="eastAsia" w:ascii="Times New Roman" w:hAnsi="Times New Roman" w:cs="仿宋"/>
          <w:color w:val="auto"/>
          <w:highlight w:val="none"/>
          <w:lang w:eastAsia="zh-CN"/>
        </w:rPr>
        <w:t>0%</w:t>
      </w:r>
      <w:r>
        <w:rPr>
          <w:rFonts w:hint="eastAsia" w:ascii="仿宋" w:hAnsi="仿宋" w:cs="仿宋"/>
          <w:color w:val="auto"/>
          <w:highlight w:val="none"/>
        </w:rPr>
        <w:t>。</w:t>
      </w:r>
    </w:p>
    <w:p>
      <w:pPr>
        <w:pStyle w:val="4"/>
        <w:spacing w:before="62" w:after="62"/>
        <w:ind w:firstLine="0"/>
        <w:jc w:val="center"/>
        <w:rPr>
          <w:rFonts w:hint="default" w:ascii="宋体" w:hAnsi="宋体"/>
          <w:color w:val="auto"/>
          <w:highlight w:val="none"/>
        </w:rPr>
      </w:pPr>
      <w:bookmarkStart w:id="158" w:name="_Toc19147"/>
      <w:bookmarkStart w:id="159" w:name="_Toc5668"/>
      <w:bookmarkStart w:id="160" w:name="_Toc12453"/>
      <w:bookmarkStart w:id="161" w:name="_Toc7413"/>
      <w:bookmarkStart w:id="162" w:name="_Toc10452"/>
      <w:bookmarkStart w:id="163" w:name="_Toc53003189"/>
      <w:bookmarkStart w:id="164" w:name="_Toc31425"/>
      <w:r>
        <w:rPr>
          <w:rFonts w:hint="default" w:ascii="宋体" w:hAnsi="宋体"/>
          <w:color w:val="auto"/>
          <w:highlight w:val="none"/>
        </w:rPr>
        <w:t>第二节 建立现代能源保障体系</w:t>
      </w:r>
      <w:bookmarkEnd w:id="158"/>
      <w:bookmarkEnd w:id="159"/>
      <w:bookmarkEnd w:id="160"/>
      <w:bookmarkEnd w:id="161"/>
      <w:bookmarkEnd w:id="162"/>
      <w:bookmarkEnd w:id="163"/>
      <w:bookmarkEnd w:id="164"/>
    </w:p>
    <w:p>
      <w:pPr>
        <w:ind w:firstLine="640"/>
        <w:rPr>
          <w:color w:val="auto"/>
          <w:highlight w:val="none"/>
        </w:rPr>
      </w:pPr>
      <w:r>
        <w:rPr>
          <w:color w:val="auto"/>
          <w:highlight w:val="none"/>
        </w:rPr>
        <w:t>推进全区能源保障体系的建设，聚焦能源供应和能源输配，提高能源保障能力。坚持能源开发与节约并重的方针，以电力建设为中心，构建安全、清洁、高效现代能源保障体系。增强能源供应能力</w:t>
      </w:r>
      <w:r>
        <w:rPr>
          <w:rFonts w:hint="eastAsia"/>
          <w:color w:val="auto"/>
          <w:highlight w:val="none"/>
          <w:lang w:eastAsia="zh-CN"/>
        </w:rPr>
        <w:t>，</w:t>
      </w:r>
      <w:r>
        <w:rPr>
          <w:color w:val="auto"/>
          <w:highlight w:val="none"/>
        </w:rPr>
        <w:t>大力发展清洁能源，提高非化石能源消费比例，推动风能与其他能源互补发电；</w:t>
      </w:r>
      <w:r>
        <w:rPr>
          <w:rFonts w:hint="eastAsia"/>
          <w:color w:val="auto"/>
          <w:highlight w:val="none"/>
        </w:rPr>
        <w:t>适当</w:t>
      </w:r>
      <w:r>
        <w:rPr>
          <w:color w:val="auto"/>
          <w:highlight w:val="none"/>
        </w:rPr>
        <w:t>发展太阳能、生物质能发电。科学布局建设热电联产、分布式能源等支撑电源。</w:t>
      </w:r>
    </w:p>
    <w:p>
      <w:pPr>
        <w:rPr>
          <w:color w:val="auto"/>
          <w:highlight w:val="none"/>
        </w:rPr>
      </w:pPr>
      <w:r>
        <w:rPr>
          <w:b/>
          <w:bCs/>
          <w:color w:val="auto"/>
          <w:highlight w:val="none"/>
        </w:rPr>
        <w:t>增强能源供应能力。</w:t>
      </w:r>
      <w:r>
        <w:rPr>
          <w:color w:val="auto"/>
          <w:highlight w:val="none"/>
        </w:rPr>
        <w:t>加快新能源的利用，推进汽车加气站、充电站建设，提升新能源汽车充电保障能力，积极发展太阳能光伏应用，推动能源清洁化供给，加大清洁能源普及力度，构建清洁低碳、安全高效能源体系。推动关停燃煤锅炉和自备电厂，提高能源梯级利用效率。积极推动热电联产项目和天然气分布式能源站建设。</w:t>
      </w:r>
    </w:p>
    <w:p>
      <w:pPr>
        <w:rPr>
          <w:rFonts w:hint="eastAsia"/>
          <w:color w:val="auto"/>
          <w:highlight w:val="none"/>
        </w:rPr>
      </w:pPr>
      <w:r>
        <w:rPr>
          <w:b/>
          <w:bCs/>
          <w:color w:val="auto"/>
          <w:highlight w:val="none"/>
        </w:rPr>
        <w:t>建设能源输配网络。</w:t>
      </w:r>
      <w:r>
        <w:rPr>
          <w:color w:val="auto"/>
          <w:highlight w:val="none"/>
        </w:rPr>
        <w:t>优化电网结构，加强电网建设，促进电源、电网协调发展，提升电网系统运行效率和安全保障水平。推进农村电网改造升级，加快建设骨干电网工程，提升电网电能质量和供电能力。</w:t>
      </w:r>
      <w:r>
        <w:rPr>
          <w:rFonts w:hint="eastAsia" w:ascii="Times New Roman" w:hAnsi="Times New Roman"/>
          <w:color w:val="auto"/>
          <w:highlight w:val="none"/>
          <w:lang w:eastAsia="zh-CN"/>
        </w:rPr>
        <w:t>2025</w:t>
      </w:r>
      <w:r>
        <w:rPr>
          <w:rFonts w:hint="eastAsia"/>
          <w:color w:val="auto"/>
          <w:highlight w:val="none"/>
        </w:rPr>
        <w:t>年前投产</w:t>
      </w:r>
      <w:r>
        <w:rPr>
          <w:rFonts w:hint="eastAsia" w:ascii="Times New Roman" w:hAnsi="Times New Roman"/>
          <w:color w:val="auto"/>
          <w:highlight w:val="none"/>
          <w:lang w:eastAsia="zh-CN"/>
        </w:rPr>
        <w:t>7</w:t>
      </w:r>
      <w:r>
        <w:rPr>
          <w:rFonts w:hint="eastAsia"/>
          <w:color w:val="auto"/>
          <w:highlight w:val="none"/>
        </w:rPr>
        <w:t>个变电站，其中</w:t>
      </w:r>
      <w:r>
        <w:rPr>
          <w:rFonts w:hint="eastAsia" w:ascii="Times New Roman" w:hAnsi="Times New Roman"/>
          <w:color w:val="auto"/>
          <w:highlight w:val="none"/>
          <w:lang w:eastAsia="zh-CN"/>
        </w:rPr>
        <w:t>220</w:t>
      </w:r>
      <w:r>
        <w:rPr>
          <w:rFonts w:hint="eastAsia"/>
          <w:color w:val="auto"/>
          <w:highlight w:val="none"/>
        </w:rPr>
        <w:t>千伏变电站</w:t>
      </w:r>
      <w:r>
        <w:rPr>
          <w:rFonts w:hint="eastAsia" w:ascii="Times New Roman" w:hAnsi="Times New Roman"/>
          <w:color w:val="auto"/>
          <w:highlight w:val="none"/>
          <w:lang w:eastAsia="zh-CN"/>
        </w:rPr>
        <w:t>1</w:t>
      </w:r>
      <w:r>
        <w:rPr>
          <w:rFonts w:hint="eastAsia"/>
          <w:color w:val="auto"/>
          <w:highlight w:val="none"/>
        </w:rPr>
        <w:t>个，</w:t>
      </w:r>
      <w:r>
        <w:rPr>
          <w:rFonts w:hint="eastAsia" w:ascii="Times New Roman" w:hAnsi="Times New Roman"/>
          <w:color w:val="auto"/>
          <w:highlight w:val="none"/>
          <w:lang w:eastAsia="zh-CN"/>
        </w:rPr>
        <w:t>110</w:t>
      </w:r>
      <w:r>
        <w:rPr>
          <w:rFonts w:hint="eastAsia"/>
          <w:color w:val="auto"/>
          <w:highlight w:val="none"/>
        </w:rPr>
        <w:t>千伏变电站</w:t>
      </w:r>
      <w:r>
        <w:rPr>
          <w:rFonts w:hint="eastAsia" w:ascii="Times New Roman" w:hAnsi="Times New Roman"/>
          <w:color w:val="auto"/>
          <w:highlight w:val="none"/>
          <w:lang w:eastAsia="zh-CN"/>
        </w:rPr>
        <w:t>6</w:t>
      </w:r>
      <w:r>
        <w:rPr>
          <w:rFonts w:hint="eastAsia"/>
          <w:color w:val="auto"/>
          <w:highlight w:val="none"/>
        </w:rPr>
        <w:t>个，总投资</w:t>
      </w:r>
      <w:r>
        <w:rPr>
          <w:rFonts w:hint="eastAsia" w:ascii="Times New Roman" w:hAnsi="Times New Roman"/>
          <w:color w:val="auto"/>
          <w:highlight w:val="none"/>
          <w:lang w:eastAsia="zh-CN"/>
        </w:rPr>
        <w:t>8.54</w:t>
      </w:r>
      <w:r>
        <w:rPr>
          <w:rFonts w:hint="eastAsia"/>
          <w:color w:val="auto"/>
          <w:highlight w:val="none"/>
        </w:rPr>
        <w:t>亿元。规划变电站新出</w:t>
      </w:r>
      <w:r>
        <w:rPr>
          <w:rFonts w:hint="eastAsia" w:ascii="Times New Roman" w:hAnsi="Times New Roman"/>
          <w:color w:val="auto"/>
          <w:highlight w:val="none"/>
          <w:lang w:eastAsia="zh-CN"/>
        </w:rPr>
        <w:t>10</w:t>
      </w:r>
      <w:r>
        <w:rPr>
          <w:rFonts w:hint="eastAsia"/>
          <w:color w:val="auto"/>
          <w:highlight w:val="none"/>
        </w:rPr>
        <w:t>千伏线路</w:t>
      </w:r>
      <w:r>
        <w:rPr>
          <w:rFonts w:hint="eastAsia" w:ascii="Times New Roman" w:hAnsi="Times New Roman"/>
          <w:color w:val="auto"/>
          <w:highlight w:val="none"/>
          <w:lang w:eastAsia="zh-CN"/>
        </w:rPr>
        <w:t>35</w:t>
      </w:r>
      <w:r>
        <w:rPr>
          <w:rFonts w:hint="eastAsia"/>
          <w:color w:val="auto"/>
          <w:highlight w:val="none"/>
        </w:rPr>
        <w:t>回，总投资</w:t>
      </w:r>
      <w:r>
        <w:rPr>
          <w:rFonts w:hint="eastAsia" w:ascii="Times New Roman" w:hAnsi="Times New Roman"/>
          <w:color w:val="auto"/>
          <w:highlight w:val="none"/>
          <w:lang w:eastAsia="zh-CN"/>
        </w:rPr>
        <w:t>1.05</w:t>
      </w:r>
      <w:r>
        <w:rPr>
          <w:rFonts w:hint="eastAsia"/>
          <w:color w:val="auto"/>
          <w:highlight w:val="none"/>
        </w:rPr>
        <w:t>亿元。建设实施坡头区电网升级工程，城镇电网供电能力、网架水平、供电质量水平显著提升，促进电网建设服务当地社会经济协同发展。</w:t>
      </w:r>
    </w:p>
    <w:p>
      <w:pPr>
        <w:pStyle w:val="4"/>
        <w:spacing w:before="62" w:after="62"/>
        <w:ind w:firstLine="0"/>
        <w:jc w:val="center"/>
        <w:rPr>
          <w:rFonts w:hint="default" w:ascii="宋体" w:hAnsi="宋体"/>
          <w:color w:val="auto"/>
          <w:highlight w:val="none"/>
        </w:rPr>
      </w:pPr>
      <w:bookmarkStart w:id="165" w:name="_Toc53003190"/>
      <w:bookmarkStart w:id="166" w:name="_Toc26104"/>
      <w:bookmarkStart w:id="167" w:name="_Toc25878"/>
      <w:bookmarkStart w:id="168" w:name="_Toc8210"/>
      <w:bookmarkStart w:id="169" w:name="_Toc22109"/>
      <w:bookmarkStart w:id="170" w:name="_Toc26798"/>
      <w:bookmarkStart w:id="171" w:name="_Toc15242"/>
      <w:r>
        <w:rPr>
          <w:rFonts w:hint="default" w:ascii="宋体" w:hAnsi="宋体"/>
          <w:color w:val="auto"/>
          <w:highlight w:val="none"/>
        </w:rPr>
        <w:t>第三节 完善</w:t>
      </w:r>
      <w:r>
        <w:rPr>
          <w:rFonts w:hint="eastAsia"/>
          <w:color w:val="auto"/>
          <w:highlight w:val="none"/>
          <w:lang w:val="en-US" w:eastAsia="zh-CN"/>
        </w:rPr>
        <w:t>数字化</w:t>
      </w:r>
      <w:r>
        <w:rPr>
          <w:rFonts w:hint="default" w:ascii="宋体" w:hAnsi="宋体"/>
          <w:color w:val="auto"/>
          <w:highlight w:val="none"/>
        </w:rPr>
        <w:t>信息化网络体系</w:t>
      </w:r>
      <w:bookmarkEnd w:id="165"/>
      <w:bookmarkEnd w:id="166"/>
    </w:p>
    <w:p>
      <w:pPr>
        <w:bidi w:val="0"/>
        <w:rPr>
          <w:color w:val="auto"/>
          <w:highlight w:val="none"/>
        </w:rPr>
      </w:pPr>
      <w:r>
        <w:rPr>
          <w:color w:val="auto"/>
          <w:highlight w:val="none"/>
        </w:rPr>
        <w:t>实施</w:t>
      </w:r>
      <w:r>
        <w:rPr>
          <w:rFonts w:hint="eastAsia"/>
          <w:color w:val="auto"/>
          <w:highlight w:val="none"/>
          <w:lang w:val="en-US" w:eastAsia="zh-CN"/>
        </w:rPr>
        <w:t>数字化、</w:t>
      </w:r>
      <w:r>
        <w:rPr>
          <w:color w:val="auto"/>
          <w:highlight w:val="none"/>
        </w:rPr>
        <w:t>信息化发展战略，把握国际信息技术发展新趋势，抢占信息化未来发展制高点，推动信息化和工业化深度融合，</w:t>
      </w:r>
      <w:r>
        <w:rPr>
          <w:rFonts w:hint="eastAsia"/>
          <w:color w:val="auto"/>
          <w:highlight w:val="none"/>
          <w:lang w:val="en-US" w:eastAsia="zh-CN"/>
        </w:rPr>
        <w:t>全力</w:t>
      </w:r>
      <w:r>
        <w:rPr>
          <w:color w:val="auto"/>
          <w:highlight w:val="none"/>
        </w:rPr>
        <w:t>推进政务网建设</w:t>
      </w:r>
      <w:r>
        <w:rPr>
          <w:rFonts w:hint="eastAsia"/>
          <w:color w:val="auto"/>
          <w:highlight w:val="none"/>
          <w:lang w:eastAsia="zh-CN"/>
        </w:rPr>
        <w:t>，</w:t>
      </w:r>
      <w:r>
        <w:rPr>
          <w:color w:val="auto"/>
          <w:highlight w:val="none"/>
        </w:rPr>
        <w:t>全面提升全区信息化发展水平。</w:t>
      </w:r>
    </w:p>
    <w:p>
      <w:pPr>
        <w:bidi w:val="0"/>
        <w:rPr>
          <w:color w:val="auto"/>
          <w:highlight w:val="none"/>
        </w:rPr>
      </w:pPr>
      <w:r>
        <w:rPr>
          <w:b/>
          <w:bCs/>
          <w:color w:val="auto"/>
          <w:highlight w:val="none"/>
        </w:rPr>
        <w:t>推进信息基础设施建设</w:t>
      </w:r>
      <w:r>
        <w:rPr>
          <w:rFonts w:hint="eastAsia"/>
          <w:b/>
          <w:bCs/>
          <w:color w:val="auto"/>
          <w:highlight w:val="none"/>
          <w:lang w:eastAsia="zh-CN"/>
        </w:rPr>
        <w:t>。</w:t>
      </w:r>
      <w:r>
        <w:rPr>
          <w:color w:val="auto"/>
          <w:highlight w:val="none"/>
        </w:rPr>
        <w:t>统筹抓好宽带通信网和无线宽带网络建设，</w:t>
      </w:r>
      <w:r>
        <w:rPr>
          <w:rFonts w:hint="eastAsia"/>
          <w:color w:val="auto"/>
          <w:highlight w:val="none"/>
        </w:rPr>
        <w:t>推进</w:t>
      </w:r>
      <w:r>
        <w:rPr>
          <w:rFonts w:hint="eastAsia" w:ascii="Times New Roman" w:hAnsi="Times New Roman"/>
          <w:color w:val="auto"/>
          <w:highlight w:val="none"/>
          <w:lang w:eastAsia="zh-CN"/>
        </w:rPr>
        <w:t>5G</w:t>
      </w:r>
      <w:r>
        <w:rPr>
          <w:rFonts w:hint="eastAsia"/>
          <w:color w:val="auto"/>
          <w:highlight w:val="none"/>
        </w:rPr>
        <w:t>、物联网、大数据等新型基础设施建设，提升信息网络覆盖水平，</w:t>
      </w:r>
      <w:r>
        <w:rPr>
          <w:color w:val="auto"/>
          <w:highlight w:val="none"/>
        </w:rPr>
        <w:t>实现区内</w:t>
      </w:r>
      <w:r>
        <w:rPr>
          <w:rFonts w:hint="eastAsia" w:ascii="Times New Roman" w:hAnsi="Times New Roman"/>
          <w:color w:val="auto"/>
          <w:highlight w:val="none"/>
          <w:lang w:eastAsia="zh-CN"/>
        </w:rPr>
        <w:t>5G</w:t>
      </w:r>
      <w:r>
        <w:rPr>
          <w:color w:val="auto"/>
          <w:highlight w:val="none"/>
        </w:rPr>
        <w:t>网络连续覆盖。实现从线上到线下、从消费到生产、从平台到生态的</w:t>
      </w:r>
      <w:r>
        <w:rPr>
          <w:rFonts w:hint="eastAsia" w:ascii="Times New Roman" w:hAnsi="Times New Roman"/>
          <w:color w:val="auto"/>
          <w:highlight w:val="none"/>
          <w:lang w:eastAsia="zh-CN"/>
        </w:rPr>
        <w:t>5G</w:t>
      </w:r>
      <w:r>
        <w:rPr>
          <w:color w:val="auto"/>
          <w:highlight w:val="none"/>
        </w:rPr>
        <w:t>全生态产业聚集态势，自主创新能力显著提高，建成一批特色鲜明、亮点突出、可复制可推广的行业应用标杆。</w:t>
      </w:r>
    </w:p>
    <w:p>
      <w:pPr>
        <w:bidi w:val="0"/>
        <w:rPr>
          <w:rFonts w:hint="eastAsia"/>
          <w:color w:val="auto"/>
          <w:highlight w:val="none"/>
        </w:rPr>
      </w:pPr>
      <w:r>
        <w:rPr>
          <w:rFonts w:ascii="Times New Roman" w:hAnsi="Times New Roman"/>
          <w:b/>
          <w:bCs/>
          <w:color w:val="auto"/>
          <w:highlight w:val="none"/>
        </w:rPr>
        <w:t>拓展信息技</w:t>
      </w:r>
      <w:r>
        <w:rPr>
          <w:rStyle w:val="26"/>
          <w:b/>
          <w:bCs/>
          <w:color w:val="auto"/>
          <w:highlight w:val="none"/>
        </w:rPr>
        <w:t>术</w:t>
      </w:r>
      <w:r>
        <w:rPr>
          <w:rFonts w:ascii="Times New Roman" w:hAnsi="Times New Roman"/>
          <w:b/>
          <w:bCs/>
          <w:color w:val="auto"/>
          <w:highlight w:val="none"/>
        </w:rPr>
        <w:t>应用</w:t>
      </w:r>
      <w:r>
        <w:rPr>
          <w:rFonts w:hint="eastAsia"/>
          <w:b/>
          <w:bCs/>
          <w:color w:val="auto"/>
          <w:highlight w:val="none"/>
          <w:lang w:eastAsia="zh-CN"/>
        </w:rPr>
        <w:t>。</w:t>
      </w:r>
      <w:r>
        <w:rPr>
          <w:color w:val="auto"/>
          <w:highlight w:val="none"/>
        </w:rPr>
        <w:t>充分利用数字政府集约化建设规模效应，打破</w:t>
      </w:r>
      <w:r>
        <w:rPr>
          <w:rFonts w:hint="eastAsia"/>
          <w:color w:val="auto"/>
          <w:highlight w:val="none"/>
        </w:rPr>
        <w:t>“</w:t>
      </w:r>
      <w:r>
        <w:rPr>
          <w:color w:val="auto"/>
          <w:highlight w:val="none"/>
        </w:rPr>
        <w:t>数据壁垒</w:t>
      </w:r>
      <w:r>
        <w:rPr>
          <w:rFonts w:hint="eastAsia"/>
          <w:color w:val="auto"/>
          <w:highlight w:val="none"/>
        </w:rPr>
        <w:t>”</w:t>
      </w:r>
      <w:r>
        <w:rPr>
          <w:color w:val="auto"/>
          <w:highlight w:val="none"/>
        </w:rPr>
        <w:t>，打通政务服务关键环节，优化平台使用体验，助力</w:t>
      </w:r>
      <w:r>
        <w:rPr>
          <w:rFonts w:hint="eastAsia"/>
          <w:color w:val="auto"/>
          <w:highlight w:val="none"/>
        </w:rPr>
        <w:t>“</w:t>
      </w:r>
      <w:r>
        <w:rPr>
          <w:color w:val="auto"/>
          <w:highlight w:val="none"/>
        </w:rPr>
        <w:t>粤系列</w:t>
      </w:r>
      <w:r>
        <w:rPr>
          <w:rFonts w:hint="eastAsia"/>
          <w:color w:val="auto"/>
          <w:highlight w:val="none"/>
        </w:rPr>
        <w:t>”</w:t>
      </w:r>
      <w:r>
        <w:rPr>
          <w:color w:val="auto"/>
          <w:highlight w:val="none"/>
        </w:rPr>
        <w:t>（粤省事、粤商通、粤政易等）移动应用品牌推广应用。全面优化一体化政务服务平台、规划综合管理信息平台、</w:t>
      </w:r>
      <w:r>
        <w:rPr>
          <w:rFonts w:hint="eastAsia"/>
          <w:color w:val="auto"/>
          <w:highlight w:val="none"/>
        </w:rPr>
        <w:t>“</w:t>
      </w:r>
      <w:r>
        <w:rPr>
          <w:color w:val="auto"/>
          <w:highlight w:val="none"/>
        </w:rPr>
        <w:t>数字财政</w:t>
      </w:r>
      <w:r>
        <w:rPr>
          <w:rFonts w:hint="eastAsia"/>
          <w:color w:val="auto"/>
          <w:highlight w:val="none"/>
        </w:rPr>
        <w:t>”</w:t>
      </w:r>
      <w:r>
        <w:rPr>
          <w:color w:val="auto"/>
          <w:highlight w:val="none"/>
        </w:rPr>
        <w:t>综合管理平台以及中小企业融资平台</w:t>
      </w:r>
      <w:r>
        <w:rPr>
          <w:rFonts w:hint="eastAsia"/>
          <w:color w:val="auto"/>
          <w:highlight w:val="none"/>
          <w:lang w:eastAsia="zh-CN"/>
        </w:rPr>
        <w:t>，</w:t>
      </w:r>
      <w:r>
        <w:rPr>
          <w:color w:val="auto"/>
          <w:highlight w:val="none"/>
        </w:rPr>
        <w:t>推动智慧居家养老</w:t>
      </w:r>
      <w:r>
        <w:rPr>
          <w:rFonts w:hint="eastAsia"/>
          <w:color w:val="auto"/>
          <w:highlight w:val="none"/>
          <w:lang w:eastAsia="zh-CN"/>
        </w:rPr>
        <w:t>，</w:t>
      </w:r>
      <w:r>
        <w:rPr>
          <w:color w:val="auto"/>
          <w:highlight w:val="none"/>
        </w:rPr>
        <w:t>推进建设</w:t>
      </w:r>
      <w:r>
        <w:rPr>
          <w:rFonts w:hint="eastAsia"/>
          <w:color w:val="auto"/>
          <w:highlight w:val="none"/>
        </w:rPr>
        <w:t>“</w:t>
      </w:r>
      <w:r>
        <w:rPr>
          <w:color w:val="auto"/>
          <w:highlight w:val="none"/>
        </w:rPr>
        <w:t>互联网+医疗健康</w:t>
      </w:r>
      <w:r>
        <w:rPr>
          <w:rFonts w:hint="eastAsia"/>
          <w:color w:val="auto"/>
          <w:highlight w:val="none"/>
        </w:rPr>
        <w:t>”“</w:t>
      </w:r>
      <w:r>
        <w:rPr>
          <w:color w:val="auto"/>
          <w:highlight w:val="none"/>
        </w:rPr>
        <w:t>互联网+人社</w:t>
      </w:r>
      <w:r>
        <w:rPr>
          <w:rFonts w:hint="eastAsia"/>
          <w:color w:val="auto"/>
          <w:highlight w:val="none"/>
        </w:rPr>
        <w:t>”“</w:t>
      </w:r>
      <w:r>
        <w:rPr>
          <w:color w:val="auto"/>
          <w:highlight w:val="none"/>
        </w:rPr>
        <w:t>互联网+交通场站</w:t>
      </w:r>
      <w:r>
        <w:rPr>
          <w:rFonts w:hint="eastAsia"/>
          <w:color w:val="auto"/>
          <w:highlight w:val="none"/>
        </w:rPr>
        <w:t>”“</w:t>
      </w:r>
      <w:r>
        <w:rPr>
          <w:color w:val="auto"/>
          <w:highlight w:val="none"/>
        </w:rPr>
        <w:t>智慧教育</w:t>
      </w:r>
      <w:r>
        <w:rPr>
          <w:rFonts w:hint="eastAsia"/>
          <w:color w:val="auto"/>
          <w:highlight w:val="none"/>
        </w:rPr>
        <w:t>”“</w:t>
      </w:r>
      <w:r>
        <w:rPr>
          <w:color w:val="auto"/>
          <w:highlight w:val="none"/>
        </w:rPr>
        <w:t>智慧城管</w:t>
      </w:r>
      <w:r>
        <w:rPr>
          <w:rFonts w:hint="eastAsia"/>
          <w:color w:val="auto"/>
          <w:highlight w:val="none"/>
        </w:rPr>
        <w:t>”</w:t>
      </w:r>
      <w:r>
        <w:rPr>
          <w:color w:val="auto"/>
          <w:highlight w:val="none"/>
        </w:rPr>
        <w:t>以及智慧农业新模式等</w:t>
      </w:r>
      <w:r>
        <w:rPr>
          <w:rFonts w:hint="eastAsia"/>
          <w:color w:val="auto"/>
          <w:highlight w:val="none"/>
          <w:lang w:eastAsia="zh-CN"/>
        </w:rPr>
        <w:t>，</w:t>
      </w:r>
      <w:r>
        <w:rPr>
          <w:rFonts w:hint="eastAsia"/>
          <w:color w:val="auto"/>
          <w:highlight w:val="none"/>
        </w:rPr>
        <w:t>推动大数据、人工智能、区块链等现代科技与市域社会治理深度融合，</w:t>
      </w:r>
      <w:r>
        <w:rPr>
          <w:rFonts w:hint="eastAsia"/>
          <w:color w:val="auto"/>
          <w:highlight w:val="none"/>
          <w:lang w:val="en-US" w:eastAsia="zh-CN"/>
        </w:rPr>
        <w:t>推进</w:t>
      </w:r>
      <w:r>
        <w:rPr>
          <w:rFonts w:hint="eastAsia"/>
          <w:color w:val="auto"/>
          <w:highlight w:val="none"/>
        </w:rPr>
        <w:t>“雪亮工程”建设，逐步完善区级“一总两分”平台、视频监控前端点和相关配套设施建设</w:t>
      </w:r>
      <w:r>
        <w:rPr>
          <w:rFonts w:hint="eastAsia"/>
          <w:color w:val="auto"/>
          <w:highlight w:val="none"/>
          <w:lang w:eastAsia="zh-CN"/>
        </w:rPr>
        <w:t>，</w:t>
      </w:r>
      <w:r>
        <w:rPr>
          <w:rFonts w:hint="eastAsia"/>
          <w:color w:val="auto"/>
          <w:highlight w:val="none"/>
        </w:rPr>
        <w:t>推进综治信息化建设。</w:t>
      </w:r>
    </w:p>
    <w:p>
      <w:pPr>
        <w:bidi w:val="0"/>
        <w:rPr>
          <w:color w:val="auto"/>
          <w:highlight w:val="none"/>
        </w:rPr>
      </w:pPr>
      <w:r>
        <w:rPr>
          <w:b/>
          <w:bCs/>
          <w:color w:val="auto"/>
          <w:highlight w:val="none"/>
        </w:rPr>
        <w:t>继续推进政务网建设</w:t>
      </w:r>
      <w:r>
        <w:rPr>
          <w:rFonts w:hint="eastAsia"/>
          <w:b w:val="0"/>
          <w:bCs w:val="0"/>
          <w:color w:val="auto"/>
          <w:highlight w:val="none"/>
          <w:lang w:eastAsia="zh-CN"/>
        </w:rPr>
        <w:t>。</w:t>
      </w:r>
      <w:r>
        <w:rPr>
          <w:rFonts w:hint="eastAsia"/>
          <w:color w:val="auto"/>
          <w:highlight w:val="none"/>
          <w:lang w:val="en-US" w:eastAsia="zh-CN"/>
        </w:rPr>
        <w:t>谋划推动</w:t>
      </w:r>
      <w:r>
        <w:rPr>
          <w:color w:val="auto"/>
          <w:highlight w:val="none"/>
        </w:rPr>
        <w:t>智慧城市指挥中心</w:t>
      </w:r>
      <w:r>
        <w:rPr>
          <w:rFonts w:hint="eastAsia"/>
          <w:color w:val="auto"/>
          <w:highlight w:val="none"/>
          <w:lang w:val="en-US" w:eastAsia="zh-CN"/>
        </w:rPr>
        <w:t>前期工作</w:t>
      </w:r>
      <w:r>
        <w:rPr>
          <w:color w:val="auto"/>
          <w:highlight w:val="none"/>
        </w:rPr>
        <w:t>，加强新技术在政务服务领域的应用，进一步夯实数字政府基础能力。继续完善数字政府改革保障机制，完善制度标准建设，并加强信息技术的培训与宣传。</w:t>
      </w:r>
      <w:r>
        <w:rPr>
          <w:rFonts w:hint="eastAsia"/>
          <w:color w:val="auto"/>
          <w:highlight w:val="none"/>
        </w:rPr>
        <w:t>推进智慧法院、智慧检务、智慧公安、智慧司法行政、智慧消防救援应急等建设，建设跨部门大数据平台，拓展智辅决策、智能监管、智能服务等应用模块，优化流程、提升效能。</w:t>
      </w:r>
    </w:p>
    <w:p>
      <w:pPr>
        <w:bidi w:val="0"/>
        <w:rPr>
          <w:color w:val="auto"/>
          <w:highlight w:val="none"/>
        </w:rPr>
      </w:pPr>
      <w:r>
        <w:rPr>
          <w:b/>
          <w:bCs/>
          <w:color w:val="auto"/>
          <w:highlight w:val="none"/>
        </w:rPr>
        <w:t>加强信息安全</w:t>
      </w:r>
      <w:r>
        <w:rPr>
          <w:rFonts w:hint="eastAsia"/>
          <w:b/>
          <w:bCs/>
          <w:color w:val="auto"/>
          <w:highlight w:val="none"/>
          <w:lang w:val="en-US" w:eastAsia="zh-CN"/>
        </w:rPr>
        <w:t>保障和公共数据开放共享</w:t>
      </w:r>
      <w:r>
        <w:rPr>
          <w:rFonts w:hint="eastAsia"/>
          <w:b/>
          <w:bCs/>
          <w:color w:val="auto"/>
          <w:highlight w:val="none"/>
          <w:lang w:eastAsia="zh-CN"/>
        </w:rPr>
        <w:t>。</w:t>
      </w:r>
      <w:r>
        <w:rPr>
          <w:color w:val="auto"/>
          <w:highlight w:val="none"/>
        </w:rPr>
        <w:t>建立网络与信息安全联合监管和协调机制，推动网络安全与信息化同步设计、同步建设，完善信息安全基础设施建设。</w:t>
      </w:r>
      <w:r>
        <w:rPr>
          <w:rFonts w:hint="eastAsia"/>
          <w:color w:val="auto"/>
          <w:highlight w:val="none"/>
        </w:rPr>
        <w:t>加强公共数据开放共享，完善政府数据开放共享管理体系，积极对接国家、省</w:t>
      </w:r>
      <w:r>
        <w:rPr>
          <w:rFonts w:hint="eastAsia"/>
          <w:color w:val="auto"/>
          <w:highlight w:val="none"/>
          <w:lang w:eastAsia="zh-CN"/>
        </w:rPr>
        <w:t>、</w:t>
      </w:r>
      <w:r>
        <w:rPr>
          <w:rFonts w:hint="eastAsia"/>
          <w:color w:val="auto"/>
          <w:highlight w:val="none"/>
          <w:lang w:val="en-US" w:eastAsia="zh-CN"/>
        </w:rPr>
        <w:t>市</w:t>
      </w:r>
      <w:r>
        <w:rPr>
          <w:rFonts w:hint="eastAsia"/>
          <w:color w:val="auto"/>
          <w:highlight w:val="none"/>
        </w:rPr>
        <w:t>数据统一开放共享平台，推动扩大基础公共信息数据有序开放，推进政府数据开放共享清单化管理。</w:t>
      </w:r>
      <w:r>
        <w:rPr>
          <w:color w:val="auto"/>
          <w:highlight w:val="none"/>
        </w:rPr>
        <w:t>加快推行网络实名制，完善网络信用体系，规范互联网服务市场秩序。全面落实国家信息安全等级保护制度，加强关键信息基础设施保护，保障重要信息系统、重点网站、关键敏感数据和个人隐私信息安全，保障信息系统互联互通和部门间信息资源共享安全。增强广播电视网安全防护能力，加大无线电安全管理和重要信息系统无线电频率保障力度。鼓励发展信息安全产业，加强信息安全领域自主可控产品和技术研发和推广。</w:t>
      </w:r>
    </w:p>
    <w:p>
      <w:pPr>
        <w:pStyle w:val="4"/>
        <w:spacing w:before="62" w:after="62"/>
        <w:ind w:firstLine="0"/>
        <w:jc w:val="center"/>
        <w:rPr>
          <w:rFonts w:hint="default" w:ascii="宋体" w:hAnsi="宋体"/>
          <w:color w:val="auto"/>
          <w:highlight w:val="none"/>
        </w:rPr>
      </w:pPr>
      <w:bookmarkStart w:id="172" w:name="_Toc53003191"/>
      <w:bookmarkStart w:id="173" w:name="_Toc2920"/>
      <w:r>
        <w:rPr>
          <w:rFonts w:hint="default" w:ascii="宋体" w:hAnsi="宋体"/>
          <w:color w:val="auto"/>
          <w:highlight w:val="none"/>
        </w:rPr>
        <w:t>第四节 优化完善水利保障体系</w:t>
      </w:r>
      <w:bookmarkEnd w:id="167"/>
      <w:bookmarkEnd w:id="168"/>
      <w:bookmarkEnd w:id="169"/>
      <w:bookmarkEnd w:id="170"/>
      <w:bookmarkEnd w:id="171"/>
      <w:bookmarkEnd w:id="172"/>
      <w:bookmarkEnd w:id="173"/>
    </w:p>
    <w:p>
      <w:pPr>
        <w:bidi w:val="0"/>
        <w:rPr>
          <w:color w:val="auto"/>
          <w:highlight w:val="none"/>
        </w:rPr>
      </w:pPr>
      <w:bookmarkStart w:id="174" w:name="_Toc32200"/>
      <w:bookmarkStart w:id="175" w:name="_Toc13807"/>
      <w:bookmarkStart w:id="176" w:name="_Toc14178"/>
      <w:bookmarkStart w:id="177" w:name="_Toc17928"/>
      <w:r>
        <w:rPr>
          <w:rFonts w:hint="eastAsia"/>
          <w:color w:val="auto"/>
          <w:highlight w:val="none"/>
        </w:rPr>
        <w:t>加强水利基础设施建设，集中力量加快建设一批重点水利工程，不断完善水利基础设施网络，全面提升水利保障能力。</w:t>
      </w:r>
    </w:p>
    <w:p>
      <w:pPr>
        <w:bidi w:val="0"/>
        <w:rPr>
          <w:color w:val="auto"/>
          <w:highlight w:val="none"/>
        </w:rPr>
      </w:pPr>
      <w:r>
        <w:rPr>
          <w:b/>
          <w:bCs/>
          <w:color w:val="auto"/>
          <w:highlight w:val="none"/>
        </w:rPr>
        <w:t>提高水利防灾减灾能力</w:t>
      </w:r>
      <w:bookmarkEnd w:id="174"/>
      <w:bookmarkEnd w:id="175"/>
      <w:bookmarkEnd w:id="176"/>
      <w:bookmarkEnd w:id="177"/>
      <w:r>
        <w:rPr>
          <w:rFonts w:hint="eastAsia"/>
          <w:b/>
          <w:bCs/>
          <w:color w:val="auto"/>
          <w:highlight w:val="none"/>
          <w:lang w:eastAsia="zh-CN"/>
        </w:rPr>
        <w:t>。</w:t>
      </w:r>
      <w:r>
        <w:rPr>
          <w:color w:val="auto"/>
          <w:highlight w:val="none"/>
        </w:rPr>
        <w:t>拓宽地方性水利资金投入渠道，加强行业监管，补</w:t>
      </w:r>
      <w:r>
        <w:rPr>
          <w:rFonts w:hint="eastAsia"/>
          <w:color w:val="auto"/>
          <w:highlight w:val="none"/>
          <w:lang w:val="en-US" w:eastAsia="zh-CN"/>
        </w:rPr>
        <w:t>齐</w:t>
      </w:r>
      <w:r>
        <w:rPr>
          <w:color w:val="auto"/>
          <w:highlight w:val="none"/>
        </w:rPr>
        <w:t>工程短板。</w:t>
      </w:r>
      <w:r>
        <w:rPr>
          <w:rFonts w:hint="eastAsia"/>
          <w:color w:val="auto"/>
          <w:highlight w:val="none"/>
        </w:rPr>
        <w:t>加快南调河环境综合整治，打造万里碧道“湛江样板”。落实河、湖长制，大力推进“五清”“清四乱”行动。</w:t>
      </w:r>
      <w:r>
        <w:rPr>
          <w:color w:val="auto"/>
          <w:highlight w:val="none"/>
        </w:rPr>
        <w:t>着力推进海绵城市建设，加快推进雨污分流工程。实施灌区改造、中小河流治理、水土保持等水利工程</w:t>
      </w:r>
      <w:r>
        <w:rPr>
          <w:rFonts w:hint="eastAsia"/>
          <w:color w:val="auto"/>
          <w:highlight w:val="none"/>
          <w:lang w:eastAsia="zh-CN"/>
        </w:rPr>
        <w:t>。</w:t>
      </w:r>
      <w:r>
        <w:rPr>
          <w:color w:val="auto"/>
          <w:highlight w:val="none"/>
        </w:rPr>
        <w:t>全力开展防洪工程建设、治理河道及加固堤防，</w:t>
      </w:r>
      <w:r>
        <w:rPr>
          <w:rFonts w:hint="eastAsia"/>
          <w:color w:val="auto"/>
          <w:highlight w:val="none"/>
          <w:lang w:val="en-US" w:eastAsia="zh-CN"/>
        </w:rPr>
        <w:t>建设坡头区北马围引配套与节水改造工程，开展</w:t>
      </w:r>
      <w:r>
        <w:rPr>
          <w:color w:val="auto"/>
          <w:highlight w:val="none"/>
        </w:rPr>
        <w:t>病险水闸除险加固治理，完善水利防灾减灾保障体系。</w:t>
      </w:r>
    </w:p>
    <w:p>
      <w:pPr>
        <w:bidi w:val="0"/>
        <w:rPr>
          <w:color w:val="auto"/>
          <w:highlight w:val="none"/>
        </w:rPr>
      </w:pPr>
      <w:bookmarkStart w:id="178" w:name="_Toc4184"/>
      <w:bookmarkStart w:id="179" w:name="_Toc20568"/>
      <w:bookmarkStart w:id="180" w:name="_Toc22995"/>
      <w:bookmarkStart w:id="181" w:name="_Toc3932"/>
      <w:r>
        <w:rPr>
          <w:b/>
          <w:bCs/>
          <w:color w:val="auto"/>
          <w:highlight w:val="none"/>
        </w:rPr>
        <w:t>完善水资源保障体系</w:t>
      </w:r>
      <w:bookmarkEnd w:id="178"/>
      <w:bookmarkEnd w:id="179"/>
      <w:bookmarkEnd w:id="180"/>
      <w:bookmarkEnd w:id="181"/>
      <w:r>
        <w:rPr>
          <w:rFonts w:hint="eastAsia"/>
          <w:b/>
          <w:bCs/>
          <w:color w:val="auto"/>
          <w:highlight w:val="none"/>
          <w:lang w:eastAsia="zh-CN"/>
        </w:rPr>
        <w:t>。</w:t>
      </w:r>
      <w:r>
        <w:rPr>
          <w:color w:val="auto"/>
          <w:highlight w:val="none"/>
        </w:rPr>
        <w:t>继续加大水利基础设施建设的资金投入，集中力量加快建设一批水源开发利用工程，完善水资源配置格局和高效利用体系，实施水资源科学管理</w:t>
      </w:r>
      <w:r>
        <w:rPr>
          <w:rFonts w:hint="eastAsia"/>
          <w:color w:val="auto"/>
          <w:highlight w:val="none"/>
          <w:lang w:eastAsia="zh-CN"/>
        </w:rPr>
        <w:t>。</w:t>
      </w:r>
      <w:r>
        <w:rPr>
          <w:color w:val="auto"/>
          <w:highlight w:val="none"/>
        </w:rPr>
        <w:t>持续深化水利改革工作，探索建立水生态保护补偿机制</w:t>
      </w:r>
      <w:r>
        <w:rPr>
          <w:rFonts w:hint="eastAsia"/>
          <w:color w:val="auto"/>
          <w:highlight w:val="none"/>
          <w:lang w:eastAsia="zh-CN"/>
        </w:rPr>
        <w:t>，</w:t>
      </w:r>
      <w:r>
        <w:rPr>
          <w:color w:val="auto"/>
          <w:highlight w:val="none"/>
        </w:rPr>
        <w:t>以农业水价综合改革为牵引，探索建立水权交易市场，促进节水和农田水利体制机制创新，以体制改革促进水利发展</w:t>
      </w:r>
      <w:r>
        <w:rPr>
          <w:rFonts w:hint="eastAsia"/>
          <w:color w:val="auto"/>
          <w:highlight w:val="none"/>
          <w:lang w:eastAsia="zh-CN"/>
        </w:rPr>
        <w:t>，</w:t>
      </w:r>
      <w:r>
        <w:rPr>
          <w:color w:val="auto"/>
          <w:highlight w:val="none"/>
        </w:rPr>
        <w:t>建设节水型社会</w:t>
      </w:r>
      <w:r>
        <w:rPr>
          <w:rFonts w:hint="eastAsia"/>
          <w:color w:val="auto"/>
          <w:highlight w:val="none"/>
          <w:lang w:eastAsia="zh-CN"/>
        </w:rPr>
        <w:t>。</w:t>
      </w:r>
      <w:r>
        <w:rPr>
          <w:color w:val="auto"/>
          <w:highlight w:val="none"/>
        </w:rPr>
        <w:t>加大水利行业能力建设，为坡头区社会经济快速发展提供坚实的优质水资源保障。</w:t>
      </w:r>
    </w:p>
    <w:p>
      <w:pPr>
        <w:bidi w:val="0"/>
        <w:rPr>
          <w:color w:val="auto"/>
          <w:highlight w:val="none"/>
        </w:rPr>
      </w:pPr>
      <w:bookmarkStart w:id="182" w:name="_Toc17602"/>
      <w:bookmarkStart w:id="183" w:name="_Toc21665"/>
      <w:bookmarkStart w:id="184" w:name="_Toc24669"/>
      <w:bookmarkStart w:id="185" w:name="_Toc24326"/>
      <w:r>
        <w:rPr>
          <w:b/>
          <w:bCs/>
          <w:color w:val="auto"/>
          <w:highlight w:val="none"/>
        </w:rPr>
        <w:t>加强供水保障体系建设</w:t>
      </w:r>
      <w:bookmarkEnd w:id="182"/>
      <w:bookmarkEnd w:id="183"/>
      <w:bookmarkEnd w:id="184"/>
      <w:bookmarkEnd w:id="185"/>
      <w:r>
        <w:rPr>
          <w:rFonts w:hint="eastAsia"/>
          <w:b/>
          <w:bCs/>
          <w:color w:val="auto"/>
          <w:highlight w:val="none"/>
          <w:lang w:eastAsia="zh-CN"/>
        </w:rPr>
        <w:t>。</w:t>
      </w:r>
      <w:r>
        <w:rPr>
          <w:rFonts w:hint="eastAsia"/>
          <w:color w:val="auto"/>
          <w:highlight w:val="none"/>
        </w:rPr>
        <w:t>稳步推进甘村水库综合整治，新建引水渠道确保水库水质安全，</w:t>
      </w:r>
      <w:r>
        <w:rPr>
          <w:rFonts w:hint="eastAsia"/>
          <w:color w:val="auto"/>
          <w:highlight w:val="none"/>
          <w:lang w:val="en-US" w:eastAsia="zh-CN"/>
        </w:rPr>
        <w:t>加快推进</w:t>
      </w:r>
      <w:r>
        <w:rPr>
          <w:rFonts w:hint="eastAsia"/>
          <w:color w:val="auto"/>
          <w:highlight w:val="none"/>
        </w:rPr>
        <w:t>甘村水库清淤扩容，</w:t>
      </w:r>
      <w:r>
        <w:rPr>
          <w:rFonts w:hint="eastAsia"/>
          <w:color w:val="auto"/>
          <w:highlight w:val="none"/>
          <w:lang w:val="en-US" w:eastAsia="zh-CN"/>
        </w:rPr>
        <w:t>推动</w:t>
      </w:r>
      <w:r>
        <w:rPr>
          <w:rFonts w:hint="eastAsia" w:ascii="Times New Roman" w:hAnsi="Times New Roman"/>
          <w:color w:val="auto"/>
          <w:highlight w:val="none"/>
          <w:lang w:eastAsia="zh-CN"/>
        </w:rPr>
        <w:t>220</w:t>
      </w:r>
      <w:r>
        <w:rPr>
          <w:rFonts w:hint="eastAsia"/>
          <w:color w:val="auto"/>
          <w:highlight w:val="none"/>
        </w:rPr>
        <w:t>亩家用电器公司积水地块水浮莲及底泥清理</w:t>
      </w:r>
      <w:r>
        <w:rPr>
          <w:rFonts w:hint="eastAsia"/>
          <w:color w:val="auto"/>
          <w:highlight w:val="none"/>
          <w:lang w:eastAsia="zh-CN"/>
        </w:rPr>
        <w:t>，</w:t>
      </w:r>
      <w:r>
        <w:rPr>
          <w:rFonts w:hint="eastAsia"/>
          <w:color w:val="auto"/>
          <w:highlight w:val="none"/>
        </w:rPr>
        <w:t>有效保障全区供水安全。</w:t>
      </w:r>
      <w:r>
        <w:rPr>
          <w:color w:val="auto"/>
          <w:highlight w:val="none"/>
        </w:rPr>
        <w:t>加快</w:t>
      </w:r>
      <w:r>
        <w:rPr>
          <w:rFonts w:hint="eastAsia"/>
          <w:color w:val="auto"/>
          <w:highlight w:val="none"/>
          <w:lang w:val="en-US" w:eastAsia="zh-CN"/>
        </w:rPr>
        <w:t>实施</w:t>
      </w:r>
      <w:r>
        <w:rPr>
          <w:color w:val="auto"/>
          <w:highlight w:val="none"/>
        </w:rPr>
        <w:t>户户通自来水工程。在全区饮水安全工程的基础上，通过扩网、改造、连通、整合和新建等措施，形成覆盖全区城乡的供水安全保障体系，实现</w:t>
      </w:r>
      <w:r>
        <w:rPr>
          <w:rFonts w:hint="eastAsia"/>
          <w:color w:val="auto"/>
          <w:highlight w:val="none"/>
          <w:lang w:val="en-US" w:eastAsia="zh-CN"/>
        </w:rPr>
        <w:t>全面集中供水以及</w:t>
      </w:r>
      <w:r>
        <w:rPr>
          <w:color w:val="auto"/>
          <w:highlight w:val="none"/>
        </w:rPr>
        <w:t>水量、水质、水压</w:t>
      </w:r>
      <w:r>
        <w:rPr>
          <w:rFonts w:hint="eastAsia"/>
          <w:color w:val="auto"/>
          <w:highlight w:val="none"/>
          <w:lang w:val="en-US" w:eastAsia="zh-CN"/>
        </w:rPr>
        <w:t>全面达标</w:t>
      </w:r>
      <w:r>
        <w:rPr>
          <w:color w:val="auto"/>
          <w:highlight w:val="none"/>
        </w:rPr>
        <w:t>。</w:t>
      </w:r>
    </w:p>
    <w:p>
      <w:pPr>
        <w:pStyle w:val="2"/>
        <w:rPr>
          <w:color w:val="auto"/>
          <w:highlight w:val="none"/>
        </w:rPr>
      </w:pPr>
    </w:p>
    <w:tbl>
      <w:tblPr>
        <w:tblStyle w:val="14"/>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84" w:type="dxa"/>
            <w:noWrap w:val="0"/>
            <w:vAlign w:val="center"/>
          </w:tcPr>
          <w:p>
            <w:pPr>
              <w:widowControl w:val="0"/>
              <w:spacing w:line="400" w:lineRule="exact"/>
              <w:ind w:firstLine="0" w:firstLineChars="0"/>
              <w:jc w:val="center"/>
              <w:textAlignment w:val="auto"/>
              <w:rPr>
                <w:rFonts w:hint="eastAsia" w:ascii="Calibri" w:hAnsi="Calibri" w:eastAsia="宋体" w:cs="Times New Roman"/>
                <w:b/>
                <w:color w:val="auto"/>
                <w:kern w:val="2"/>
                <w:sz w:val="24"/>
                <w:szCs w:val="24"/>
                <w:highlight w:val="none"/>
                <w:lang w:val="en-US" w:eastAsia="zh-CN"/>
              </w:rPr>
            </w:pPr>
            <w:r>
              <w:rPr>
                <w:rFonts w:ascii="Times New Roman" w:hAnsi="Times New Roman" w:eastAsia="宋体" w:cs="Times New Roman"/>
                <w:b/>
                <w:color w:val="auto"/>
                <w:kern w:val="2"/>
                <w:sz w:val="28"/>
                <w:szCs w:val="28"/>
                <w:highlight w:val="none"/>
              </w:rPr>
              <w:t>专栏</w:t>
            </w:r>
            <w:r>
              <w:rPr>
                <w:rFonts w:hint="eastAsia" w:ascii="Times New Roman" w:hAnsi="Times New Roman" w:eastAsia="宋体" w:cs="Times New Roman"/>
                <w:b/>
                <w:color w:val="auto"/>
                <w:kern w:val="2"/>
                <w:sz w:val="28"/>
                <w:szCs w:val="28"/>
                <w:highlight w:val="none"/>
                <w:lang w:val="en-US" w:eastAsia="zh-CN"/>
              </w:rPr>
              <w:t>6</w:t>
            </w:r>
            <w:r>
              <w:rPr>
                <w:rFonts w:ascii="Times New Roman" w:hAnsi="Times New Roman" w:eastAsia="宋体" w:cs="Times New Roman"/>
                <w:b/>
                <w:color w:val="auto"/>
                <w:kern w:val="0"/>
                <w:sz w:val="28"/>
                <w:szCs w:val="28"/>
                <w:highlight w:val="none"/>
              </w:rPr>
              <w:t>：</w:t>
            </w:r>
            <w:r>
              <w:rPr>
                <w:rFonts w:ascii="Times New Roman" w:hAnsi="Times New Roman" w:eastAsia="宋体" w:cs="Times New Roman"/>
                <w:b/>
                <w:color w:val="auto"/>
                <w:kern w:val="2"/>
                <w:sz w:val="28"/>
                <w:szCs w:val="28"/>
                <w:highlight w:val="none"/>
              </w:rPr>
              <w:t>“十四五”时期</w:t>
            </w:r>
            <w:r>
              <w:rPr>
                <w:rFonts w:hint="eastAsia" w:ascii="Times New Roman" w:hAnsi="Times New Roman" w:eastAsia="宋体" w:cs="Times New Roman"/>
                <w:b/>
                <w:color w:val="auto"/>
                <w:kern w:val="2"/>
                <w:sz w:val="28"/>
                <w:szCs w:val="28"/>
                <w:highlight w:val="none"/>
                <w:lang w:val="en-US" w:eastAsia="zh-CN"/>
              </w:rPr>
              <w:t>坡头区</w:t>
            </w:r>
            <w:r>
              <w:rPr>
                <w:rFonts w:hint="eastAsia" w:ascii="Times New Roman" w:hAnsi="Times New Roman" w:eastAsia="宋体" w:cs="Times New Roman"/>
                <w:b/>
                <w:color w:val="auto"/>
                <w:kern w:val="2"/>
                <w:sz w:val="28"/>
                <w:szCs w:val="28"/>
                <w:highlight w:val="none"/>
              </w:rPr>
              <w:t>基础设施</w:t>
            </w:r>
            <w:r>
              <w:rPr>
                <w:rFonts w:hint="eastAsia" w:eastAsia="宋体" w:cs="Times New Roman"/>
                <w:b/>
                <w:color w:val="auto"/>
                <w:kern w:val="2"/>
                <w:sz w:val="28"/>
                <w:szCs w:val="28"/>
                <w:highlight w:val="none"/>
                <w:lang w:val="en-US" w:eastAsia="zh-CN"/>
              </w:rPr>
              <w:t>建设</w:t>
            </w:r>
            <w:r>
              <w:rPr>
                <w:rFonts w:ascii="Times New Roman" w:hAnsi="Times New Roman" w:eastAsia="宋体" w:cs="Times New Roman"/>
                <w:b/>
                <w:color w:val="auto"/>
                <w:kern w:val="2"/>
                <w:sz w:val="28"/>
                <w:szCs w:val="28"/>
                <w:highlight w:val="none"/>
              </w:rPr>
              <w:t>重大工程</w:t>
            </w:r>
            <w:r>
              <w:rPr>
                <w:rFonts w:hint="eastAsia" w:eastAsia="宋体" w:cs="Times New Roman"/>
                <w:b/>
                <w:color w:val="auto"/>
                <w:kern w:val="2"/>
                <w:sz w:val="28"/>
                <w:szCs w:val="28"/>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884" w:type="dxa"/>
            <w:noWrap w:val="0"/>
            <w:vAlign w:val="top"/>
          </w:tcPr>
          <w:p>
            <w:pPr>
              <w:widowControl w:val="0"/>
              <w:spacing w:line="400" w:lineRule="exact"/>
              <w:ind w:left="0" w:leftChars="0" w:firstLine="0" w:firstLineChars="0"/>
              <w:jc w:val="left"/>
              <w:textAlignment w:val="auto"/>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一、交通项目</w:t>
            </w:r>
          </w:p>
          <w:p>
            <w:pPr>
              <w:widowControl w:val="0"/>
              <w:spacing w:line="400" w:lineRule="exact"/>
              <w:ind w:left="0" w:leftChars="0" w:firstLine="0" w:firstLineChars="0"/>
              <w:jc w:val="left"/>
              <w:textAlignment w:val="auto"/>
              <w:rPr>
                <w:rFonts w:hint="eastAsia" w:ascii="宋体" w:hAnsi="宋体" w:eastAsia="宋体" w:cs="宋体"/>
                <w:bCs/>
                <w:color w:val="auto"/>
                <w:kern w:val="2"/>
                <w:sz w:val="24"/>
                <w:szCs w:val="24"/>
                <w:highlight w:val="none"/>
              </w:rPr>
            </w:pPr>
            <w:r>
              <w:rPr>
                <w:rFonts w:hint="eastAsia" w:ascii="Times New Roman" w:hAnsi="Times New Roman" w:eastAsia="宋体" w:cs="Times New Roman"/>
                <w:b/>
                <w:bCs/>
                <w:color w:val="auto"/>
                <w:kern w:val="2"/>
                <w:sz w:val="24"/>
                <w:szCs w:val="24"/>
                <w:highlight w:val="none"/>
                <w:lang w:val="en-US" w:eastAsia="zh-CN"/>
              </w:rPr>
              <w:t>1.</w:t>
            </w:r>
            <w:r>
              <w:rPr>
                <w:rFonts w:hint="eastAsia" w:eastAsia="宋体" w:cs="Times New Roman"/>
                <w:b/>
                <w:bCs/>
                <w:color w:val="auto"/>
                <w:kern w:val="2"/>
                <w:sz w:val="24"/>
                <w:szCs w:val="24"/>
                <w:highlight w:val="none"/>
                <w:lang w:val="en-US" w:eastAsia="zh-CN"/>
              </w:rPr>
              <w:t xml:space="preserve"> </w:t>
            </w:r>
            <w:r>
              <w:rPr>
                <w:rFonts w:ascii="Times New Roman" w:hAnsi="Times New Roman" w:eastAsia="宋体" w:cs="Times New Roman"/>
                <w:b/>
                <w:bCs/>
                <w:color w:val="auto"/>
                <w:kern w:val="2"/>
                <w:sz w:val="24"/>
                <w:szCs w:val="24"/>
                <w:highlight w:val="none"/>
              </w:rPr>
              <w:t>铁路项目：</w:t>
            </w:r>
            <w:r>
              <w:rPr>
                <w:rFonts w:hint="eastAsia" w:ascii="宋体" w:hAnsi="宋体" w:eastAsia="宋体" w:cs="宋体"/>
                <w:bCs/>
                <w:color w:val="auto"/>
                <w:kern w:val="2"/>
                <w:sz w:val="24"/>
                <w:szCs w:val="24"/>
                <w:highlight w:val="none"/>
              </w:rPr>
              <w:t>加快建设广州至湛江铁路（湛江段）、</w:t>
            </w:r>
            <w:r>
              <w:rPr>
                <w:rFonts w:hint="eastAsia" w:ascii="宋体" w:hAnsi="宋体" w:eastAsia="宋体" w:cs="宋体"/>
                <w:bCs/>
                <w:color w:val="auto"/>
                <w:kern w:val="2"/>
                <w:sz w:val="24"/>
                <w:szCs w:val="24"/>
                <w:highlight w:val="none"/>
                <w:lang w:val="en-US" w:eastAsia="zh-CN"/>
              </w:rPr>
              <w:t>湛江东站枢纽</w:t>
            </w:r>
            <w:r>
              <w:rPr>
                <w:rFonts w:hint="eastAsia" w:ascii="宋体" w:hAnsi="宋体" w:eastAsia="宋体" w:cs="宋体"/>
                <w:bCs/>
                <w:color w:val="auto"/>
                <w:kern w:val="2"/>
                <w:sz w:val="24"/>
                <w:szCs w:val="24"/>
                <w:highlight w:val="none"/>
              </w:rPr>
              <w:t>等项目，“十四五”时期投资</w:t>
            </w:r>
            <w:r>
              <w:rPr>
                <w:rFonts w:hint="eastAsia" w:ascii="Times New Roman" w:hAnsi="Times New Roman" w:eastAsia="宋体" w:cs="宋体"/>
                <w:bCs/>
                <w:color w:val="auto"/>
                <w:kern w:val="2"/>
                <w:sz w:val="24"/>
                <w:szCs w:val="24"/>
                <w:highlight w:val="none"/>
                <w:lang w:val="en-US" w:eastAsia="zh-CN"/>
              </w:rPr>
              <w:t>60</w:t>
            </w:r>
            <w:r>
              <w:rPr>
                <w:rFonts w:hint="eastAsia" w:ascii="宋体" w:hAnsi="宋体" w:eastAsia="宋体" w:cs="宋体"/>
                <w:bCs/>
                <w:color w:val="auto"/>
                <w:kern w:val="2"/>
                <w:sz w:val="24"/>
                <w:szCs w:val="24"/>
                <w:highlight w:val="none"/>
              </w:rPr>
              <w:t>亿元。</w:t>
            </w:r>
          </w:p>
          <w:p>
            <w:pPr>
              <w:widowControl w:val="0"/>
              <w:spacing w:line="400" w:lineRule="exact"/>
              <w:ind w:left="0" w:leftChars="0" w:firstLine="0" w:firstLineChars="0"/>
              <w:jc w:val="left"/>
              <w:textAlignment w:val="auto"/>
              <w:rPr>
                <w:rFonts w:ascii="Times New Roman" w:hAnsi="Times New Roman" w:eastAsia="宋体" w:cs="Times New Roman"/>
                <w:bCs/>
                <w:color w:val="auto"/>
                <w:kern w:val="2"/>
                <w:sz w:val="24"/>
                <w:szCs w:val="24"/>
                <w:highlight w:val="none"/>
              </w:rPr>
            </w:pPr>
            <w:r>
              <w:rPr>
                <w:rFonts w:hint="eastAsia" w:ascii="Times New Roman" w:hAnsi="Times New Roman" w:eastAsia="宋体" w:cs="Times New Roman"/>
                <w:b/>
                <w:color w:val="auto"/>
                <w:kern w:val="2"/>
                <w:sz w:val="24"/>
                <w:szCs w:val="24"/>
                <w:highlight w:val="none"/>
                <w:lang w:val="en-US" w:eastAsia="zh-CN"/>
              </w:rPr>
              <w:t>2.</w:t>
            </w:r>
            <w:r>
              <w:rPr>
                <w:rFonts w:hint="eastAsia" w:eastAsia="宋体" w:cs="Times New Roman"/>
                <w:b/>
                <w:color w:val="auto"/>
                <w:kern w:val="2"/>
                <w:sz w:val="24"/>
                <w:szCs w:val="24"/>
                <w:highlight w:val="none"/>
                <w:lang w:val="en-US" w:eastAsia="zh-CN"/>
              </w:rPr>
              <w:t xml:space="preserve"> </w:t>
            </w:r>
            <w:r>
              <w:rPr>
                <w:rFonts w:ascii="Times New Roman" w:hAnsi="Times New Roman" w:eastAsia="宋体" w:cs="Times New Roman"/>
                <w:b/>
                <w:color w:val="auto"/>
                <w:kern w:val="2"/>
                <w:sz w:val="24"/>
                <w:szCs w:val="24"/>
                <w:highlight w:val="none"/>
              </w:rPr>
              <w:t>公路</w:t>
            </w:r>
            <w:r>
              <w:rPr>
                <w:rFonts w:ascii="Times New Roman" w:hAnsi="Times New Roman" w:eastAsia="宋体" w:cs="Times New Roman"/>
                <w:b/>
                <w:bCs/>
                <w:color w:val="auto"/>
                <w:kern w:val="2"/>
                <w:sz w:val="24"/>
                <w:szCs w:val="24"/>
                <w:highlight w:val="none"/>
              </w:rPr>
              <w:t>项目</w:t>
            </w:r>
            <w:r>
              <w:rPr>
                <w:rFonts w:ascii="Times New Roman" w:hAnsi="Times New Roman" w:eastAsia="宋体" w:cs="Times New Roman"/>
                <w:b/>
                <w:color w:val="auto"/>
                <w:kern w:val="2"/>
                <w:sz w:val="24"/>
                <w:szCs w:val="24"/>
                <w:highlight w:val="none"/>
              </w:rPr>
              <w:t>：</w:t>
            </w:r>
            <w:r>
              <w:rPr>
                <w:rFonts w:hint="eastAsia" w:ascii="宋体" w:hAnsi="宋体" w:eastAsia="宋体" w:cs="宋体"/>
                <w:bCs/>
                <w:color w:val="auto"/>
                <w:kern w:val="2"/>
                <w:sz w:val="24"/>
                <w:szCs w:val="24"/>
                <w:highlight w:val="none"/>
              </w:rPr>
              <w:t>加快建设湛江国际机场连接线</w:t>
            </w:r>
            <w:r>
              <w:rPr>
                <w:rFonts w:hint="eastAsia" w:ascii="宋体" w:hAnsi="宋体" w:eastAsia="宋体" w:cs="宋体"/>
                <w:bCs/>
                <w:color w:val="auto"/>
                <w:kern w:val="2"/>
                <w:sz w:val="24"/>
                <w:szCs w:val="24"/>
                <w:highlight w:val="none"/>
                <w:lang w:eastAsia="zh-CN"/>
              </w:rPr>
              <w:t>、调顺跨海大桥、海川快线改扩建工程、南三岛至东海岛、霞山至</w:t>
            </w:r>
            <w:r>
              <w:rPr>
                <w:rFonts w:hint="eastAsia" w:ascii="宋体" w:hAnsi="宋体" w:eastAsia="宋体" w:cs="宋体"/>
                <w:bCs/>
                <w:color w:val="auto"/>
                <w:kern w:val="2"/>
                <w:sz w:val="24"/>
                <w:szCs w:val="24"/>
                <w:highlight w:val="none"/>
                <w:lang w:val="en-US" w:eastAsia="zh-CN"/>
              </w:rPr>
              <w:t>南三</w:t>
            </w:r>
            <w:r>
              <w:rPr>
                <w:rFonts w:hint="eastAsia" w:ascii="宋体" w:hAnsi="宋体" w:eastAsia="宋体" w:cs="宋体"/>
                <w:bCs/>
                <w:color w:val="auto"/>
                <w:kern w:val="2"/>
                <w:sz w:val="24"/>
                <w:szCs w:val="24"/>
                <w:highlight w:val="none"/>
                <w:lang w:eastAsia="zh-CN"/>
              </w:rPr>
              <w:t>海湾隧道、军港大道二期、广东滨海旅游公路南三段、滨海旅游公路乾塘至坡头段、</w:t>
            </w:r>
            <w:r>
              <w:rPr>
                <w:rFonts w:hint="eastAsia" w:ascii="Times New Roman" w:hAnsi="Times New Roman" w:eastAsia="宋体" w:cs="Times New Roman"/>
                <w:bCs/>
                <w:color w:val="auto"/>
                <w:kern w:val="2"/>
                <w:sz w:val="24"/>
                <w:szCs w:val="24"/>
                <w:highlight w:val="none"/>
              </w:rPr>
              <w:t>省道</w:t>
            </w:r>
            <w:r>
              <w:rPr>
                <w:rFonts w:hint="eastAsia" w:ascii="Times New Roman" w:hAnsi="Times New Roman" w:eastAsia="宋体" w:cs="Times New Roman"/>
                <w:bCs/>
                <w:color w:val="auto"/>
                <w:kern w:val="2"/>
                <w:sz w:val="24"/>
                <w:szCs w:val="24"/>
                <w:highlight w:val="none"/>
                <w:lang w:eastAsia="zh-CN"/>
              </w:rPr>
              <w:t>286</w:t>
            </w:r>
            <w:r>
              <w:rPr>
                <w:rFonts w:hint="eastAsia" w:ascii="Times New Roman" w:hAnsi="Times New Roman" w:eastAsia="宋体" w:cs="Times New Roman"/>
                <w:bCs/>
                <w:color w:val="auto"/>
                <w:kern w:val="2"/>
                <w:sz w:val="24"/>
                <w:szCs w:val="24"/>
                <w:highlight w:val="none"/>
              </w:rPr>
              <w:t>线南三岛北涯至南三林场段改建工程</w:t>
            </w:r>
            <w:r>
              <w:rPr>
                <w:rFonts w:ascii="Times New Roman" w:hAnsi="Times New Roman" w:eastAsia="宋体" w:cs="Times New Roman"/>
                <w:bCs/>
                <w:color w:val="auto"/>
                <w:kern w:val="2"/>
                <w:sz w:val="24"/>
                <w:szCs w:val="24"/>
                <w:highlight w:val="none"/>
              </w:rPr>
              <w:t>等项目，</w:t>
            </w:r>
            <w:r>
              <w:rPr>
                <w:rFonts w:hint="eastAsia" w:ascii="宋体" w:hAnsi="宋体" w:eastAsia="宋体" w:cs="宋体"/>
                <w:bCs/>
                <w:color w:val="auto"/>
                <w:kern w:val="2"/>
                <w:sz w:val="24"/>
                <w:szCs w:val="24"/>
                <w:highlight w:val="none"/>
              </w:rPr>
              <w:t>“十四五”</w:t>
            </w:r>
            <w:r>
              <w:rPr>
                <w:rFonts w:ascii="Times New Roman" w:hAnsi="Times New Roman" w:eastAsia="宋体" w:cs="Times New Roman"/>
                <w:bCs/>
                <w:color w:val="auto"/>
                <w:kern w:val="2"/>
                <w:sz w:val="24"/>
                <w:szCs w:val="24"/>
                <w:highlight w:val="none"/>
              </w:rPr>
              <w:t>时期投资</w:t>
            </w:r>
            <w:r>
              <w:rPr>
                <w:rFonts w:hint="eastAsia" w:ascii="Times New Roman" w:hAnsi="Times New Roman" w:eastAsia="宋体" w:cs="Times New Roman"/>
                <w:bCs/>
                <w:color w:val="auto"/>
                <w:kern w:val="2"/>
                <w:sz w:val="24"/>
                <w:szCs w:val="24"/>
                <w:highlight w:val="none"/>
                <w:lang w:val="en-US" w:eastAsia="zh-CN"/>
              </w:rPr>
              <w:t>130</w:t>
            </w:r>
            <w:r>
              <w:rPr>
                <w:rFonts w:ascii="Times New Roman" w:hAnsi="Times New Roman" w:eastAsia="宋体" w:cs="Times New Roman"/>
                <w:bCs/>
                <w:color w:val="auto"/>
                <w:kern w:val="2"/>
                <w:sz w:val="24"/>
                <w:szCs w:val="24"/>
                <w:highlight w:val="none"/>
              </w:rPr>
              <w:t>亿元。</w:t>
            </w:r>
          </w:p>
          <w:p>
            <w:pPr>
              <w:widowControl w:val="0"/>
              <w:spacing w:line="400" w:lineRule="exact"/>
              <w:ind w:left="0" w:leftChars="0" w:firstLine="0" w:firstLineChars="0"/>
              <w:jc w:val="left"/>
              <w:textAlignment w:val="auto"/>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b/>
                <w:bCs/>
                <w:color w:val="auto"/>
                <w:kern w:val="2"/>
                <w:sz w:val="24"/>
                <w:szCs w:val="24"/>
                <w:highlight w:val="none"/>
                <w:lang w:val="en-US" w:eastAsia="zh-CN"/>
              </w:rPr>
              <w:t>3.</w:t>
            </w:r>
            <w:r>
              <w:rPr>
                <w:rFonts w:hint="eastAsia" w:eastAsia="宋体" w:cs="Times New Roman"/>
                <w:b/>
                <w:bCs/>
                <w:color w:val="auto"/>
                <w:kern w:val="2"/>
                <w:sz w:val="24"/>
                <w:szCs w:val="24"/>
                <w:highlight w:val="none"/>
                <w:lang w:val="en-US" w:eastAsia="zh-CN"/>
              </w:rPr>
              <w:t xml:space="preserve"> </w:t>
            </w:r>
            <w:r>
              <w:rPr>
                <w:rFonts w:ascii="Times New Roman" w:hAnsi="Times New Roman" w:eastAsia="宋体" w:cs="Times New Roman"/>
                <w:b/>
                <w:bCs/>
                <w:color w:val="auto"/>
                <w:kern w:val="2"/>
                <w:sz w:val="24"/>
                <w:szCs w:val="24"/>
                <w:highlight w:val="none"/>
              </w:rPr>
              <w:t>航空项目：</w:t>
            </w:r>
            <w:r>
              <w:rPr>
                <w:rFonts w:hint="eastAsia" w:ascii="宋体" w:hAnsi="宋体" w:eastAsia="宋体" w:cs="宋体"/>
                <w:bCs/>
                <w:color w:val="auto"/>
                <w:kern w:val="2"/>
                <w:sz w:val="24"/>
                <w:szCs w:val="24"/>
                <w:highlight w:val="none"/>
              </w:rPr>
              <w:t>加快建设</w:t>
            </w:r>
            <w:r>
              <w:rPr>
                <w:rFonts w:hint="eastAsia" w:ascii="宋体" w:hAnsi="宋体" w:eastAsia="宋体" w:cs="宋体"/>
                <w:bCs/>
                <w:color w:val="auto"/>
                <w:kern w:val="2"/>
                <w:sz w:val="24"/>
                <w:szCs w:val="24"/>
                <w:highlight w:val="none"/>
                <w:lang w:val="en-US" w:eastAsia="zh-CN"/>
              </w:rPr>
              <w:t>通用航空产业园</w:t>
            </w:r>
            <w:r>
              <w:rPr>
                <w:rFonts w:hint="eastAsia" w:ascii="宋体" w:hAnsi="宋体" w:eastAsia="宋体" w:cs="宋体"/>
                <w:bCs/>
                <w:color w:val="auto"/>
                <w:kern w:val="2"/>
                <w:sz w:val="24"/>
                <w:szCs w:val="24"/>
                <w:highlight w:val="none"/>
              </w:rPr>
              <w:t>机场迁建工程、民航湛江空管站湛江终端管制中心等项</w:t>
            </w:r>
            <w:r>
              <w:rPr>
                <w:rFonts w:ascii="Times New Roman" w:hAnsi="Times New Roman" w:eastAsia="宋体" w:cs="Times New Roman"/>
                <w:bCs/>
                <w:color w:val="auto"/>
                <w:kern w:val="2"/>
                <w:sz w:val="24"/>
                <w:szCs w:val="24"/>
                <w:highlight w:val="none"/>
              </w:rPr>
              <w:t>目</w:t>
            </w:r>
            <w:r>
              <w:rPr>
                <w:rFonts w:hint="eastAsia" w:ascii="宋体" w:hAnsi="宋体" w:eastAsia="宋体" w:cs="宋体"/>
                <w:bCs/>
                <w:color w:val="auto"/>
                <w:kern w:val="2"/>
                <w:sz w:val="24"/>
                <w:szCs w:val="24"/>
                <w:highlight w:val="none"/>
              </w:rPr>
              <w:t>，“十四五”时期</w:t>
            </w:r>
            <w:r>
              <w:rPr>
                <w:rFonts w:ascii="Times New Roman" w:hAnsi="Times New Roman" w:eastAsia="宋体" w:cs="Times New Roman"/>
                <w:color w:val="auto"/>
                <w:kern w:val="2"/>
                <w:sz w:val="24"/>
                <w:szCs w:val="24"/>
                <w:highlight w:val="none"/>
              </w:rPr>
              <w:t>投资</w:t>
            </w:r>
            <w:r>
              <w:rPr>
                <w:rFonts w:hint="eastAsia" w:ascii="Times New Roman" w:hAnsi="Times New Roman" w:eastAsia="宋体" w:cs="Times New Roman"/>
                <w:color w:val="auto"/>
                <w:kern w:val="2"/>
                <w:sz w:val="24"/>
                <w:szCs w:val="24"/>
                <w:highlight w:val="none"/>
                <w:lang w:val="en-US" w:eastAsia="zh-CN"/>
              </w:rPr>
              <w:t>45</w:t>
            </w:r>
            <w:r>
              <w:rPr>
                <w:rFonts w:ascii="Times New Roman" w:hAnsi="Times New Roman" w:eastAsia="宋体" w:cs="Times New Roman"/>
                <w:color w:val="auto"/>
                <w:kern w:val="2"/>
                <w:sz w:val="24"/>
                <w:szCs w:val="24"/>
                <w:highlight w:val="none"/>
              </w:rPr>
              <w:t>亿元。</w:t>
            </w:r>
          </w:p>
          <w:p>
            <w:pPr>
              <w:widowControl w:val="0"/>
              <w:spacing w:line="400" w:lineRule="exact"/>
              <w:ind w:left="0" w:leftChars="0" w:firstLine="0" w:firstLineChars="0"/>
              <w:jc w:val="left"/>
              <w:textAlignment w:val="auto"/>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二、能源项目</w:t>
            </w:r>
          </w:p>
          <w:p>
            <w:pPr>
              <w:widowControl w:val="0"/>
              <w:spacing w:line="400" w:lineRule="exact"/>
              <w:ind w:left="0" w:leftChars="0" w:firstLine="0" w:firstLineChars="0"/>
              <w:jc w:val="left"/>
              <w:textAlignment w:val="auto"/>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b/>
                <w:bCs/>
                <w:color w:val="auto"/>
                <w:kern w:val="2"/>
                <w:sz w:val="24"/>
                <w:szCs w:val="24"/>
                <w:highlight w:val="none"/>
              </w:rPr>
              <w:t>电网</w:t>
            </w:r>
            <w:r>
              <w:rPr>
                <w:rFonts w:ascii="Times New Roman" w:hAnsi="Times New Roman" w:eastAsia="宋体" w:cs="Times New Roman"/>
                <w:b/>
                <w:bCs/>
                <w:color w:val="auto"/>
                <w:kern w:val="2"/>
                <w:sz w:val="24"/>
                <w:szCs w:val="24"/>
                <w:highlight w:val="none"/>
              </w:rPr>
              <w:t>项目：</w:t>
            </w:r>
            <w:r>
              <w:rPr>
                <w:rFonts w:hint="eastAsia" w:ascii="Times New Roman" w:hAnsi="Times New Roman" w:eastAsia="宋体" w:cs="Times New Roman"/>
                <w:bCs/>
                <w:color w:val="auto"/>
                <w:kern w:val="2"/>
                <w:sz w:val="24"/>
                <w:szCs w:val="24"/>
                <w:highlight w:val="none"/>
              </w:rPr>
              <w:t>加快</w:t>
            </w:r>
            <w:r>
              <w:rPr>
                <w:rFonts w:ascii="Times New Roman" w:hAnsi="Times New Roman" w:eastAsia="宋体" w:cs="Times New Roman"/>
                <w:color w:val="auto"/>
                <w:kern w:val="2"/>
                <w:sz w:val="24"/>
                <w:szCs w:val="24"/>
                <w:highlight w:val="none"/>
              </w:rPr>
              <w:t>建设湛江</w:t>
            </w:r>
            <w:r>
              <w:rPr>
                <w:rFonts w:hint="eastAsia" w:ascii="Times New Roman" w:hAnsi="Times New Roman" w:eastAsia="宋体" w:cs="Times New Roman"/>
                <w:color w:val="auto"/>
                <w:kern w:val="2"/>
                <w:sz w:val="24"/>
                <w:szCs w:val="24"/>
                <w:highlight w:val="none"/>
                <w:lang w:eastAsia="zh-CN"/>
              </w:rPr>
              <w:t>200</w:t>
            </w:r>
            <w:r>
              <w:rPr>
                <w:rFonts w:ascii="Times New Roman" w:hAnsi="Times New Roman" w:eastAsia="宋体" w:cs="Times New Roman"/>
                <w:color w:val="auto"/>
                <w:kern w:val="2"/>
                <w:sz w:val="24"/>
                <w:szCs w:val="24"/>
                <w:highlight w:val="none"/>
              </w:rPr>
              <w:t>千伏输变电工程，</w:t>
            </w:r>
            <w:r>
              <w:rPr>
                <w:rFonts w:hint="eastAsia" w:ascii="Times New Roman" w:hAnsi="Times New Roman" w:eastAsia="宋体" w:cs="Times New Roman"/>
                <w:color w:val="auto"/>
                <w:kern w:val="2"/>
                <w:sz w:val="24"/>
                <w:szCs w:val="24"/>
                <w:highlight w:val="none"/>
                <w:lang w:eastAsia="zh-CN"/>
              </w:rPr>
              <w:t>110</w:t>
            </w:r>
            <w:r>
              <w:rPr>
                <w:rFonts w:ascii="Times New Roman" w:hAnsi="Times New Roman" w:eastAsia="宋体" w:cs="Times New Roman"/>
                <w:color w:val="auto"/>
                <w:kern w:val="2"/>
                <w:sz w:val="24"/>
                <w:szCs w:val="24"/>
                <w:highlight w:val="none"/>
              </w:rPr>
              <w:t>千伏以下配电网工程等项目，</w:t>
            </w:r>
            <w:r>
              <w:rPr>
                <w:rFonts w:hint="eastAsia" w:ascii="宋体" w:hAnsi="宋体" w:eastAsia="宋体" w:cs="宋体"/>
                <w:bCs/>
                <w:color w:val="auto"/>
                <w:kern w:val="2"/>
                <w:sz w:val="24"/>
                <w:szCs w:val="24"/>
                <w:highlight w:val="none"/>
              </w:rPr>
              <w:t>“十四五”时</w:t>
            </w:r>
            <w:r>
              <w:rPr>
                <w:rFonts w:ascii="Times New Roman" w:hAnsi="Times New Roman" w:eastAsia="宋体" w:cs="Times New Roman"/>
                <w:color w:val="auto"/>
                <w:kern w:val="2"/>
                <w:sz w:val="24"/>
                <w:szCs w:val="24"/>
                <w:highlight w:val="none"/>
              </w:rPr>
              <w:t>期投资</w:t>
            </w:r>
            <w:r>
              <w:rPr>
                <w:rFonts w:hint="eastAsia" w:ascii="Times New Roman" w:hAnsi="Times New Roman" w:eastAsia="宋体" w:cs="Times New Roman"/>
                <w:color w:val="auto"/>
                <w:kern w:val="2"/>
                <w:sz w:val="24"/>
                <w:szCs w:val="24"/>
                <w:highlight w:val="none"/>
                <w:lang w:val="en-US" w:eastAsia="zh-CN"/>
              </w:rPr>
              <w:t>5</w:t>
            </w:r>
            <w:r>
              <w:rPr>
                <w:rFonts w:ascii="Times New Roman" w:hAnsi="Times New Roman" w:eastAsia="宋体" w:cs="Times New Roman"/>
                <w:color w:val="auto"/>
                <w:kern w:val="2"/>
                <w:sz w:val="24"/>
                <w:szCs w:val="24"/>
                <w:highlight w:val="none"/>
              </w:rPr>
              <w:t xml:space="preserve">亿元。 </w:t>
            </w:r>
          </w:p>
          <w:p>
            <w:pPr>
              <w:widowControl w:val="0"/>
              <w:spacing w:line="400" w:lineRule="exact"/>
              <w:ind w:left="0" w:leftChars="0" w:firstLine="0" w:firstLineChars="0"/>
              <w:jc w:val="left"/>
              <w:textAlignment w:val="auto"/>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三、水利项目</w:t>
            </w:r>
          </w:p>
          <w:p>
            <w:pPr>
              <w:widowControl w:val="0"/>
              <w:spacing w:line="400" w:lineRule="exact"/>
              <w:ind w:left="0" w:leftChars="0" w:firstLine="0" w:firstLineChars="0"/>
              <w:jc w:val="left"/>
              <w:textAlignment w:val="auto"/>
              <w:rPr>
                <w:rFonts w:ascii="Times New Roman" w:hAnsi="Times New Roman" w:eastAsia="宋体" w:cs="Times New Roman"/>
                <w:color w:val="auto"/>
                <w:kern w:val="2"/>
                <w:sz w:val="24"/>
                <w:szCs w:val="24"/>
                <w:highlight w:val="none"/>
              </w:rPr>
            </w:pPr>
            <w:r>
              <w:rPr>
                <w:rFonts w:hint="eastAsia" w:ascii="宋体" w:hAnsi="宋体" w:eastAsia="宋体" w:cs="宋体"/>
                <w:bCs/>
                <w:color w:val="auto"/>
                <w:kern w:val="2"/>
                <w:sz w:val="24"/>
                <w:szCs w:val="24"/>
                <w:highlight w:val="none"/>
              </w:rPr>
              <w:t>加快甘村水库综合整治工程</w:t>
            </w:r>
            <w:r>
              <w:rPr>
                <w:rFonts w:hint="eastAsia" w:ascii="宋体" w:hAnsi="宋体" w:eastAsia="宋体" w:cs="宋体"/>
                <w:bCs/>
                <w:color w:val="auto"/>
                <w:kern w:val="2"/>
                <w:sz w:val="24"/>
                <w:szCs w:val="24"/>
                <w:highlight w:val="none"/>
                <w:lang w:eastAsia="zh-CN"/>
              </w:rPr>
              <w:t>、甘村水库清淤扩容工程、甘村水库库区底泥清理工程</w:t>
            </w:r>
            <w:r>
              <w:rPr>
                <w:rFonts w:hint="eastAsia" w:ascii="宋体" w:hAnsi="宋体" w:eastAsia="宋体" w:cs="宋体"/>
                <w:bCs/>
                <w:color w:val="auto"/>
                <w:kern w:val="2"/>
                <w:sz w:val="24"/>
                <w:szCs w:val="24"/>
                <w:highlight w:val="none"/>
              </w:rPr>
              <w:t>项目建设，“十四五”期间规划投资</w:t>
            </w:r>
            <w:r>
              <w:rPr>
                <w:rFonts w:hint="eastAsia" w:ascii="Times New Roman" w:hAnsi="Times New Roman" w:eastAsia="宋体" w:cs="宋体"/>
                <w:bCs/>
                <w:color w:val="auto"/>
                <w:kern w:val="2"/>
                <w:sz w:val="24"/>
                <w:szCs w:val="24"/>
                <w:highlight w:val="none"/>
                <w:lang w:val="en-US" w:eastAsia="zh-CN"/>
              </w:rPr>
              <w:t>1.5</w:t>
            </w:r>
            <w:r>
              <w:rPr>
                <w:rFonts w:hint="eastAsia" w:ascii="宋体" w:hAnsi="宋体" w:eastAsia="宋体" w:cs="宋体"/>
                <w:bCs/>
                <w:color w:val="auto"/>
                <w:kern w:val="2"/>
                <w:sz w:val="24"/>
                <w:szCs w:val="24"/>
                <w:highlight w:val="none"/>
              </w:rPr>
              <w:t>亿元。</w:t>
            </w:r>
          </w:p>
          <w:p>
            <w:pPr>
              <w:widowControl w:val="0"/>
              <w:spacing w:line="400" w:lineRule="exact"/>
              <w:ind w:left="0" w:leftChars="0" w:firstLine="480" w:firstLineChars="200"/>
              <w:jc w:val="left"/>
              <w:textAlignment w:val="auto"/>
              <w:rPr>
                <w:rFonts w:hint="default" w:ascii="Calibri" w:hAnsi="Calibri" w:eastAsia="宋体" w:cs="Times New Roman"/>
                <w:color w:val="auto"/>
                <w:kern w:val="2"/>
                <w:sz w:val="24"/>
                <w:szCs w:val="24"/>
                <w:highlight w:val="none"/>
                <w:lang w:val="en-US" w:eastAsia="zh-CN"/>
              </w:rPr>
            </w:pPr>
          </w:p>
        </w:tc>
      </w:tr>
    </w:tbl>
    <w:p>
      <w:pPr>
        <w:ind w:firstLine="640"/>
        <w:rPr>
          <w:color w:val="auto"/>
          <w:highlight w:val="none"/>
        </w:rPr>
      </w:pPr>
    </w:p>
    <w:p>
      <w:pPr>
        <w:ind w:left="0" w:leftChars="0" w:firstLine="0" w:firstLineChars="0"/>
        <w:rPr>
          <w:color w:val="auto"/>
          <w:highlight w:val="none"/>
        </w:rPr>
      </w:pP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186" w:name="_Toc11171"/>
      <w:r>
        <w:rPr>
          <w:rFonts w:hint="eastAsia"/>
          <w:color w:val="auto"/>
          <w:highlight w:val="none"/>
        </w:rPr>
        <w:t>第</w:t>
      </w:r>
      <w:r>
        <w:rPr>
          <w:rFonts w:hint="eastAsia"/>
          <w:color w:val="auto"/>
          <w:highlight w:val="none"/>
          <w:lang w:val="en-US" w:eastAsia="zh-CN"/>
        </w:rPr>
        <w:t>六</w:t>
      </w:r>
      <w:r>
        <w:rPr>
          <w:rFonts w:hint="eastAsia"/>
          <w:color w:val="auto"/>
          <w:highlight w:val="none"/>
        </w:rPr>
        <w:t>章  优化空间布局 打造城市扩容提质新面貌</w:t>
      </w:r>
      <w:bookmarkEnd w:id="186"/>
    </w:p>
    <w:p>
      <w:pPr>
        <w:ind w:firstLine="640"/>
        <w:rPr>
          <w:color w:val="auto"/>
          <w:highlight w:val="none"/>
        </w:rPr>
      </w:pPr>
      <w:r>
        <w:rPr>
          <w:color w:val="auto"/>
          <w:highlight w:val="none"/>
        </w:rPr>
        <w:t>统筹城市规划、建设、管理，</w:t>
      </w:r>
      <w:r>
        <w:rPr>
          <w:rFonts w:hint="eastAsia"/>
          <w:color w:val="auto"/>
          <w:highlight w:val="none"/>
          <w:lang w:val="en-US" w:eastAsia="zh-CN"/>
        </w:rPr>
        <w:t>推进城区扩容提质，</w:t>
      </w:r>
      <w:r>
        <w:rPr>
          <w:color w:val="auto"/>
          <w:highlight w:val="none"/>
        </w:rPr>
        <w:t>拓展城市空间，强化经济和人口承载能力，</w:t>
      </w:r>
      <w:r>
        <w:rPr>
          <w:rFonts w:hint="eastAsia"/>
          <w:color w:val="auto"/>
          <w:highlight w:val="none"/>
          <w:lang w:val="en-US" w:eastAsia="zh-CN"/>
        </w:rPr>
        <w:t>提升城区发展能级，</w:t>
      </w:r>
      <w:r>
        <w:rPr>
          <w:color w:val="auto"/>
          <w:highlight w:val="none"/>
        </w:rPr>
        <w:t>实施城市更新行动，建设海绵城市、韧性城市。</w:t>
      </w:r>
    </w:p>
    <w:p>
      <w:pPr>
        <w:pStyle w:val="4"/>
        <w:spacing w:before="62" w:after="62"/>
        <w:ind w:firstLine="0"/>
        <w:jc w:val="center"/>
        <w:rPr>
          <w:rFonts w:hint="default" w:ascii="宋体" w:hAnsi="宋体"/>
          <w:color w:val="auto"/>
          <w:highlight w:val="none"/>
          <w:lang w:val="en-US" w:eastAsia="zh-CN"/>
        </w:rPr>
      </w:pPr>
      <w:bookmarkStart w:id="187" w:name="_Toc26755"/>
      <w:r>
        <w:rPr>
          <w:rFonts w:hint="eastAsia" w:ascii="宋体" w:hAnsi="宋体"/>
          <w:color w:val="auto"/>
          <w:highlight w:val="none"/>
          <w:lang w:val="en-US" w:eastAsia="zh-CN"/>
        </w:rPr>
        <w:t>第一节 优化城市空间布局</w:t>
      </w:r>
      <w:bookmarkEnd w:id="187"/>
    </w:p>
    <w:p>
      <w:pPr>
        <w:bidi w:val="0"/>
        <w:rPr>
          <w:rFonts w:hint="eastAsia" w:eastAsia="仿宋"/>
          <w:color w:val="auto"/>
          <w:highlight w:val="none"/>
          <w:lang w:val="en-US" w:eastAsia="zh-CN"/>
        </w:rPr>
      </w:pPr>
      <w:r>
        <w:rPr>
          <w:rFonts w:hint="eastAsia"/>
          <w:color w:val="auto"/>
          <w:highlight w:val="none"/>
          <w:lang w:val="en-US" w:eastAsia="zh-CN"/>
        </w:rPr>
        <w:t>全面落实新一轮城市国土空间规划，优化城市空间布局，推进</w:t>
      </w:r>
      <w:r>
        <w:rPr>
          <w:rFonts w:hint="eastAsia"/>
          <w:color w:val="auto"/>
          <w:highlight w:val="none"/>
        </w:rPr>
        <w:t>“多规合一”</w:t>
      </w:r>
      <w:r>
        <w:rPr>
          <w:rFonts w:hint="eastAsia"/>
          <w:color w:val="auto"/>
          <w:highlight w:val="none"/>
          <w:lang w:eastAsia="zh-CN"/>
        </w:rPr>
        <w:t>，</w:t>
      </w:r>
      <w:r>
        <w:rPr>
          <w:rFonts w:hint="eastAsia"/>
          <w:color w:val="auto"/>
          <w:highlight w:val="none"/>
          <w:lang w:val="en-US" w:eastAsia="zh-CN"/>
        </w:rPr>
        <w:t>着力</w:t>
      </w:r>
      <w:r>
        <w:rPr>
          <w:color w:val="auto"/>
          <w:highlight w:val="none"/>
        </w:rPr>
        <w:t>提升</w:t>
      </w:r>
      <w:r>
        <w:rPr>
          <w:rFonts w:hint="eastAsia"/>
          <w:color w:val="auto"/>
          <w:highlight w:val="none"/>
          <w:lang w:val="en-US" w:eastAsia="zh-CN"/>
        </w:rPr>
        <w:t>海东</w:t>
      </w:r>
      <w:r>
        <w:rPr>
          <w:color w:val="auto"/>
          <w:highlight w:val="none"/>
        </w:rPr>
        <w:t>新区核心区城市品质</w:t>
      </w:r>
      <w:r>
        <w:rPr>
          <w:rFonts w:hint="eastAsia"/>
          <w:color w:val="auto"/>
          <w:highlight w:val="none"/>
          <w:lang w:eastAsia="zh-CN"/>
        </w:rPr>
        <w:t>。</w:t>
      </w:r>
    </w:p>
    <w:p>
      <w:pPr>
        <w:bidi w:val="0"/>
        <w:rPr>
          <w:rFonts w:hint="eastAsia"/>
          <w:color w:val="auto"/>
          <w:highlight w:val="none"/>
        </w:rPr>
      </w:pPr>
      <w:r>
        <w:rPr>
          <w:rFonts w:hint="eastAsia"/>
          <w:b/>
          <w:bCs/>
          <w:color w:val="auto"/>
          <w:highlight w:val="none"/>
          <w:lang w:val="en-US" w:eastAsia="zh-CN"/>
        </w:rPr>
        <w:t>完善城市国土空间规划。</w:t>
      </w:r>
      <w:r>
        <w:rPr>
          <w:rFonts w:hint="eastAsia"/>
          <w:color w:val="auto"/>
          <w:highlight w:val="none"/>
        </w:rPr>
        <w:t>构建高质量发展国土空间布局和支持体系，打造宜居宜业宜游海东新区。科学布局生产、生活、生态空间，以海东新区起步区为核心，以海湾大桥、湛江内港湾为未来城市格局的横轴、纵轴，开展城市海岸带集中开发，重点打造桥东片区、奥体片区、湛一中片区、高铁片区，形成“一核、两轴、多组团”的城市空间布局。以“多规合一”为基础，推动“多审合一”“多证合一”，合理规划城市化地区、生态保护区、农业主产区。提前做好重大项目的征地控违和用地报批工作，为重点项目落地提供空间保障。发挥土储分中心土地收储、供地自主权优势，全面盘活城乡闲置土地，打破产业空间形态和城市功能边界，统筹利用城市发展空间，促进产城进一步融合发展。</w:t>
      </w:r>
    </w:p>
    <w:p>
      <w:pPr>
        <w:bidi w:val="0"/>
        <w:rPr>
          <w:color w:val="auto"/>
          <w:highlight w:val="none"/>
        </w:rPr>
      </w:pPr>
      <w:r>
        <w:rPr>
          <w:b/>
          <w:bCs/>
          <w:color w:val="auto"/>
          <w:highlight w:val="none"/>
        </w:rPr>
        <w:t>优化提升中心城区功能</w:t>
      </w:r>
      <w:r>
        <w:rPr>
          <w:rFonts w:hint="eastAsia"/>
          <w:b/>
          <w:bCs/>
          <w:color w:val="auto"/>
          <w:highlight w:val="none"/>
          <w:lang w:eastAsia="zh-CN"/>
        </w:rPr>
        <w:t>。</w:t>
      </w:r>
      <w:r>
        <w:rPr>
          <w:color w:val="auto"/>
          <w:highlight w:val="none"/>
        </w:rPr>
        <w:t>把海东新区（坡头）作为湛江促进中心城区扩容提质的主要平台，全面提升新区核心区城市品质，强化科技创新布局与服务，完善基础设施和优质公共服务资源配套，促进新区产城融合发展，把海东新区建设成为粤西中心城市新兴载体。</w:t>
      </w:r>
      <w:r>
        <w:rPr>
          <w:rFonts w:hint="eastAsia"/>
          <w:color w:val="auto"/>
          <w:highlight w:val="none"/>
        </w:rPr>
        <w:t>加快广东医科大学新校区、湛江一中、广东医附属医院等项目建设，逐步完善医院、学校等公共服务设施配套，进一步提升城市服务能力。建设集远洋捕捞业、水产加工流通业及休闲渔业于一体现代渔港，打造湛江海产品集散地、高端鱼货交易中心。盘活南油码头，提高流通效率，降低流通成本，实现货畅其流。启动城市海岸带集中开发设计，构建拥湾发展、城海相融的城市景观格局。</w:t>
      </w:r>
    </w:p>
    <w:p>
      <w:pPr>
        <w:pStyle w:val="4"/>
        <w:spacing w:before="62" w:after="62"/>
        <w:ind w:firstLine="0"/>
        <w:jc w:val="center"/>
        <w:rPr>
          <w:rFonts w:hint="default" w:ascii="宋体" w:hAnsi="宋体"/>
          <w:color w:val="auto"/>
          <w:highlight w:val="none"/>
        </w:rPr>
      </w:pPr>
      <w:bookmarkStart w:id="188" w:name="_Toc11164"/>
      <w:r>
        <w:rPr>
          <w:rFonts w:hint="eastAsia" w:ascii="宋体" w:hAnsi="宋体"/>
          <w:color w:val="auto"/>
          <w:highlight w:val="none"/>
          <w:lang w:val="en-US" w:eastAsia="zh-CN"/>
        </w:rPr>
        <w:t xml:space="preserve">第二节 </w:t>
      </w:r>
      <w:r>
        <w:rPr>
          <w:rFonts w:hint="default" w:ascii="宋体" w:hAnsi="宋体"/>
          <w:color w:val="auto"/>
          <w:highlight w:val="none"/>
        </w:rPr>
        <w:t>提升城区发展能级</w:t>
      </w:r>
      <w:bookmarkEnd w:id="188"/>
    </w:p>
    <w:p>
      <w:pPr>
        <w:bidi w:val="0"/>
        <w:rPr>
          <w:rFonts w:hint="eastAsia"/>
          <w:bCs/>
          <w:color w:val="auto"/>
          <w:highlight w:val="none"/>
        </w:rPr>
      </w:pPr>
      <w:r>
        <w:rPr>
          <w:rFonts w:hint="eastAsia"/>
          <w:b/>
          <w:bCs/>
          <w:color w:val="auto"/>
          <w:highlight w:val="none"/>
          <w:lang w:val="en-US" w:eastAsia="zh-CN"/>
        </w:rPr>
        <w:t>统筹</w:t>
      </w:r>
      <w:r>
        <w:rPr>
          <w:b/>
          <w:bCs/>
          <w:color w:val="auto"/>
          <w:highlight w:val="none"/>
        </w:rPr>
        <w:t>推进城市</w:t>
      </w:r>
      <w:r>
        <w:rPr>
          <w:rFonts w:hint="eastAsia"/>
          <w:b/>
          <w:bCs/>
          <w:color w:val="auto"/>
          <w:highlight w:val="none"/>
          <w:lang w:val="en-US" w:eastAsia="zh-CN"/>
        </w:rPr>
        <w:t>更新。</w:t>
      </w:r>
      <w:r>
        <w:rPr>
          <w:rFonts w:hint="eastAsia"/>
          <w:bCs/>
          <w:color w:val="auto"/>
          <w:highlight w:val="none"/>
        </w:rPr>
        <w:t>对标一流省会与发达沿海城市，坚持新区开发与旧城更新并举</w:t>
      </w:r>
      <w:r>
        <w:rPr>
          <w:rFonts w:hint="eastAsia"/>
          <w:bCs/>
          <w:color w:val="auto"/>
          <w:highlight w:val="none"/>
          <w:lang w:eastAsia="zh-CN"/>
        </w:rPr>
        <w:t>，</w:t>
      </w:r>
      <w:r>
        <w:rPr>
          <w:rFonts w:hint="eastAsia"/>
          <w:bCs/>
          <w:color w:val="auto"/>
          <w:highlight w:val="none"/>
        </w:rPr>
        <w:t>强化中心城区核心作用，全面提升海东新区城市承载力和服务辐射力。</w:t>
      </w:r>
      <w:r>
        <w:rPr>
          <w:bCs/>
          <w:color w:val="auto"/>
          <w:highlight w:val="none"/>
        </w:rPr>
        <w:t>加快城中村、城镇老旧小区改造和社区建设，推进步行街改造升级。</w:t>
      </w:r>
      <w:r>
        <w:rPr>
          <w:rFonts w:hint="eastAsia"/>
          <w:bCs/>
          <w:color w:val="auto"/>
          <w:highlight w:val="none"/>
        </w:rPr>
        <w:t>实施中心城区强芯提质，推进</w:t>
      </w:r>
      <w:r>
        <w:rPr>
          <w:rFonts w:hint="eastAsia" w:ascii="Times New Roman" w:hAnsi="Times New Roman"/>
          <w:bCs/>
          <w:color w:val="auto"/>
          <w:highlight w:val="none"/>
          <w:lang w:eastAsia="zh-CN"/>
        </w:rPr>
        <w:t>151</w:t>
      </w:r>
      <w:r>
        <w:rPr>
          <w:rFonts w:hint="eastAsia"/>
          <w:bCs/>
          <w:color w:val="auto"/>
          <w:highlight w:val="none"/>
        </w:rPr>
        <w:t>亩海东城市综合体、湛江创新产业新城、港城壹号、红星花园等项目建设</w:t>
      </w:r>
      <w:r>
        <w:rPr>
          <w:rFonts w:hint="eastAsia"/>
          <w:bCs/>
          <w:color w:val="auto"/>
          <w:highlight w:val="none"/>
          <w:lang w:eastAsia="zh-CN"/>
        </w:rPr>
        <w:t>。</w:t>
      </w:r>
      <w:r>
        <w:rPr>
          <w:rFonts w:hint="eastAsia"/>
          <w:bCs/>
          <w:color w:val="auto"/>
          <w:highlight w:val="none"/>
          <w:lang w:val="en-US" w:eastAsia="zh-CN"/>
        </w:rPr>
        <w:t>推进</w:t>
      </w:r>
      <w:r>
        <w:rPr>
          <w:rFonts w:hint="eastAsia"/>
          <w:bCs/>
          <w:color w:val="auto"/>
          <w:highlight w:val="none"/>
        </w:rPr>
        <w:t>城市更新</w:t>
      </w:r>
      <w:r>
        <w:rPr>
          <w:rFonts w:hint="eastAsia"/>
          <w:bCs/>
          <w:color w:val="auto"/>
          <w:highlight w:val="none"/>
          <w:lang w:val="en-US" w:eastAsia="zh-CN"/>
        </w:rPr>
        <w:t>改造</w:t>
      </w:r>
      <w:r>
        <w:rPr>
          <w:rFonts w:hint="eastAsia"/>
          <w:bCs/>
          <w:color w:val="auto"/>
          <w:highlight w:val="none"/>
        </w:rPr>
        <w:t>，加快南调商服区连片建设，</w:t>
      </w:r>
      <w:r>
        <w:rPr>
          <w:rFonts w:hint="eastAsia"/>
          <w:bCs/>
          <w:color w:val="auto"/>
          <w:highlight w:val="none"/>
          <w:lang w:eastAsia="zh-CN"/>
        </w:rPr>
        <w:t>将南油片区打造成为湛江市城市品质提升示范区、产业聚集升级先导区以及“三旧”更新改造标杆区。</w:t>
      </w:r>
      <w:r>
        <w:rPr>
          <w:rFonts w:hint="eastAsia"/>
          <w:bCs/>
          <w:color w:val="auto"/>
          <w:highlight w:val="none"/>
        </w:rPr>
        <w:t>加快城中村、城镇老旧小区改造，不断增强城区承载能力。</w:t>
      </w:r>
    </w:p>
    <w:p>
      <w:pPr>
        <w:pStyle w:val="2"/>
      </w:pPr>
    </w:p>
    <w:p>
      <w:pPr>
        <w:bidi w:val="0"/>
        <w:rPr>
          <w:rFonts w:hint="eastAsia"/>
          <w:color w:val="auto"/>
          <w:highlight w:val="none"/>
        </w:rPr>
      </w:pPr>
      <w:bookmarkStart w:id="189" w:name="_Toc24966"/>
      <w:bookmarkStart w:id="190" w:name="_Toc56030406"/>
      <w:bookmarkStart w:id="191" w:name="_Toc15879"/>
      <w:r>
        <w:rPr>
          <w:b/>
          <w:bCs/>
          <w:color w:val="auto"/>
          <w:highlight w:val="none"/>
        </w:rPr>
        <w:t>塑造</w:t>
      </w:r>
      <w:r>
        <w:rPr>
          <w:rFonts w:hint="eastAsia"/>
          <w:b/>
          <w:bCs/>
          <w:color w:val="auto"/>
          <w:highlight w:val="none"/>
          <w:lang w:val="en-US" w:eastAsia="zh-CN"/>
        </w:rPr>
        <w:t>秀美坡头</w:t>
      </w:r>
      <w:r>
        <w:rPr>
          <w:rFonts w:hint="eastAsia"/>
          <w:b/>
          <w:bCs/>
          <w:color w:val="auto"/>
          <w:highlight w:val="none"/>
        </w:rPr>
        <w:t>新面貌</w:t>
      </w:r>
      <w:r>
        <w:rPr>
          <w:rFonts w:hint="eastAsia"/>
          <w:b/>
          <w:bCs/>
          <w:color w:val="auto"/>
          <w:highlight w:val="none"/>
          <w:lang w:eastAsia="zh-CN"/>
        </w:rPr>
        <w:t>。</w:t>
      </w:r>
      <w:r>
        <w:rPr>
          <w:rFonts w:hint="eastAsia"/>
          <w:color w:val="auto"/>
          <w:highlight w:val="none"/>
        </w:rPr>
        <w:t>配合市开展市容市貌整治，加大对城区主街道及居民小区的道路硬化、绿化、亮化力度，提高城区亮丽工程建设档次，营造“洁、亮、绿”的城市环境；加强和改进全区停车管理</w:t>
      </w:r>
      <w:r>
        <w:rPr>
          <w:rFonts w:hint="eastAsia"/>
          <w:color w:val="auto"/>
          <w:highlight w:val="none"/>
          <w:lang w:eastAsia="zh-CN"/>
        </w:rPr>
        <w:t>，</w:t>
      </w:r>
      <w:r>
        <w:rPr>
          <w:color w:val="auto"/>
          <w:highlight w:val="none"/>
        </w:rPr>
        <w:t>推动城区美化绿化，加快创建国家生态园林城市，推进老旧公园升级改造，建设一批具有</w:t>
      </w:r>
      <w:r>
        <w:rPr>
          <w:rFonts w:hint="eastAsia"/>
          <w:color w:val="auto"/>
          <w:highlight w:val="none"/>
          <w:lang w:val="en-US" w:eastAsia="zh-CN"/>
        </w:rPr>
        <w:t>坡头</w:t>
      </w:r>
      <w:r>
        <w:rPr>
          <w:color w:val="auto"/>
          <w:highlight w:val="none"/>
        </w:rPr>
        <w:t>风情的小游园和林荫路。加大市区景观照明建设力度，打造高品位的城市夜间公共环境，更好展示海湾城市美丽特色。</w:t>
      </w:r>
      <w:r>
        <w:rPr>
          <w:rFonts w:hint="eastAsia"/>
          <w:color w:val="auto"/>
          <w:highlight w:val="none"/>
        </w:rPr>
        <w:t>开展重要街区形象设计，打造错落有致、高低合理、富有特色的城市天际线，不断提升城市形象和品位</w:t>
      </w:r>
      <w:r>
        <w:rPr>
          <w:rFonts w:hint="eastAsia"/>
          <w:color w:val="auto"/>
          <w:highlight w:val="none"/>
          <w:lang w:eastAsia="zh-CN"/>
        </w:rPr>
        <w:t>。</w:t>
      </w:r>
      <w:r>
        <w:rPr>
          <w:rFonts w:hint="eastAsia"/>
          <w:color w:val="auto"/>
          <w:highlight w:val="none"/>
        </w:rPr>
        <w:t>扎实推进全国文明城市创建工作，积极开展各类文明创建活动。</w:t>
      </w:r>
    </w:p>
    <w:p>
      <w:pPr>
        <w:pStyle w:val="2"/>
        <w:rPr>
          <w:rFonts w:hint="eastAsia" w:eastAsia="仿宋_GB2312" w:cs="Times New Roman"/>
          <w:color w:val="auto"/>
          <w:sz w:val="32"/>
          <w:szCs w:val="32"/>
          <w:highlight w:val="none"/>
          <w:lang w:val="en-US" w:eastAsia="zh-CN"/>
        </w:rPr>
      </w:pPr>
      <w:r>
        <w:rPr>
          <w:rFonts w:hint="eastAsia" w:eastAsia="仿宋_GB2312" w:cs="Times New Roman"/>
          <w:b/>
          <w:bCs/>
          <w:color w:val="auto"/>
          <w:sz w:val="32"/>
          <w:szCs w:val="32"/>
          <w:highlight w:val="none"/>
        </w:rPr>
        <w:t>建设新型智慧城市。</w:t>
      </w:r>
      <w:r>
        <w:rPr>
          <w:rFonts w:hint="eastAsia" w:eastAsia="仿宋_GB2312" w:cs="Times New Roman"/>
          <w:color w:val="auto"/>
          <w:sz w:val="32"/>
          <w:szCs w:val="32"/>
          <w:highlight w:val="none"/>
          <w:lang w:val="en-US" w:eastAsia="zh-CN"/>
        </w:rPr>
        <w:t>推进</w:t>
      </w:r>
      <w:r>
        <w:rPr>
          <w:rFonts w:hint="eastAsia" w:eastAsia="仿宋_GB2312" w:cs="Times New Roman"/>
          <w:color w:val="auto"/>
          <w:sz w:val="32"/>
          <w:szCs w:val="32"/>
          <w:highlight w:val="none"/>
        </w:rPr>
        <w:t>云计算、物联网、大数据、人工智能等技术在城市规划、建设、治理和服务等领域的应用</w:t>
      </w:r>
      <w:r>
        <w:rPr>
          <w:rFonts w:hint="eastAsia" w:eastAsia="仿宋_GB2312" w:cs="Times New Roman"/>
          <w:color w:val="auto"/>
          <w:sz w:val="32"/>
          <w:szCs w:val="32"/>
          <w:highlight w:val="none"/>
          <w:lang w:val="en-US" w:eastAsia="zh-CN"/>
        </w:rPr>
        <w:t>和智能化改造</w:t>
      </w:r>
      <w:r>
        <w:rPr>
          <w:rFonts w:hint="eastAsia" w:eastAsia="仿宋_GB2312" w:cs="Times New Roman"/>
          <w:color w:val="auto"/>
          <w:sz w:val="32"/>
          <w:szCs w:val="32"/>
          <w:highlight w:val="none"/>
        </w:rPr>
        <w:t>，重点</w:t>
      </w:r>
      <w:r>
        <w:rPr>
          <w:rFonts w:hint="eastAsia" w:eastAsia="仿宋_GB2312" w:cs="Times New Roman"/>
          <w:color w:val="auto"/>
          <w:sz w:val="32"/>
          <w:szCs w:val="32"/>
          <w:highlight w:val="none"/>
          <w:lang w:val="en-US" w:eastAsia="zh-CN"/>
        </w:rPr>
        <w:t>推进</w:t>
      </w:r>
      <w:r>
        <w:rPr>
          <w:rFonts w:hint="eastAsia" w:eastAsia="仿宋_GB2312" w:cs="Times New Roman"/>
          <w:color w:val="auto"/>
          <w:sz w:val="32"/>
          <w:szCs w:val="32"/>
          <w:highlight w:val="none"/>
        </w:rPr>
        <w:t>智慧城管、智慧交通、智慧安防、智慧社区等</w:t>
      </w:r>
      <w:r>
        <w:rPr>
          <w:rFonts w:hint="eastAsia" w:eastAsia="仿宋_GB2312" w:cs="Times New Roman"/>
          <w:color w:val="auto"/>
          <w:sz w:val="32"/>
          <w:szCs w:val="32"/>
          <w:highlight w:val="none"/>
          <w:lang w:val="en-US" w:eastAsia="zh-CN"/>
        </w:rPr>
        <w:t>建设</w:t>
      </w:r>
      <w:r>
        <w:rPr>
          <w:rFonts w:hint="eastAsia" w:eastAsia="仿宋_GB2312" w:cs="Times New Roman"/>
          <w:color w:val="auto"/>
          <w:sz w:val="32"/>
          <w:szCs w:val="32"/>
          <w:highlight w:val="none"/>
        </w:rPr>
        <w:t>，提高</w:t>
      </w:r>
      <w:r>
        <w:rPr>
          <w:rFonts w:hint="eastAsia" w:eastAsia="仿宋_GB2312" w:cs="Times New Roman"/>
          <w:color w:val="auto"/>
          <w:sz w:val="32"/>
          <w:szCs w:val="32"/>
          <w:highlight w:val="none"/>
          <w:lang w:val="en-US" w:eastAsia="zh-CN"/>
        </w:rPr>
        <w:t>社区</w:t>
      </w:r>
      <w:r>
        <w:rPr>
          <w:rFonts w:hint="eastAsia" w:eastAsia="仿宋_GB2312" w:cs="Times New Roman"/>
          <w:color w:val="auto"/>
          <w:sz w:val="32"/>
          <w:szCs w:val="32"/>
          <w:highlight w:val="none"/>
        </w:rPr>
        <w:t>管理科学化、精细化和智能化水平。建设感知、分析、服务、指挥、监察</w:t>
      </w:r>
      <w:r>
        <w:rPr>
          <w:rFonts w:hint="eastAsia" w:ascii="仿宋" w:hAnsi="仿宋" w:eastAsia="仿宋" w:cs="Times New Roman"/>
          <w:color w:val="auto"/>
          <w:sz w:val="32"/>
          <w:szCs w:val="32"/>
          <w:highlight w:val="none"/>
        </w:rPr>
        <w:t>“</w:t>
      </w:r>
      <w:r>
        <w:rPr>
          <w:rFonts w:hint="eastAsia" w:eastAsia="仿宋_GB2312" w:cs="Times New Roman"/>
          <w:color w:val="auto"/>
          <w:sz w:val="32"/>
          <w:szCs w:val="32"/>
          <w:highlight w:val="none"/>
        </w:rPr>
        <w:t>五位一体</w:t>
      </w:r>
      <w:r>
        <w:rPr>
          <w:rFonts w:hint="eastAsia" w:ascii="仿宋" w:hAnsi="仿宋" w:eastAsia="仿宋" w:cs="Times New Roman"/>
          <w:color w:val="auto"/>
          <w:sz w:val="32"/>
          <w:szCs w:val="32"/>
          <w:highlight w:val="none"/>
        </w:rPr>
        <w:t>”</w:t>
      </w:r>
      <w:r>
        <w:rPr>
          <w:rFonts w:hint="eastAsia" w:eastAsia="仿宋_GB2312" w:cs="Times New Roman"/>
          <w:color w:val="auto"/>
          <w:sz w:val="32"/>
          <w:szCs w:val="32"/>
          <w:highlight w:val="none"/>
        </w:rPr>
        <w:t>的智慧城市综合管理平台。推进城市公共设施与</w:t>
      </w:r>
      <w:r>
        <w:rPr>
          <w:rFonts w:hint="eastAsia" w:ascii="Times New Roman" w:hAnsi="Times New Roman" w:eastAsia="仿宋_GB2312" w:cs="Times New Roman"/>
          <w:color w:val="auto"/>
          <w:sz w:val="32"/>
          <w:szCs w:val="32"/>
          <w:highlight w:val="none"/>
          <w:lang w:eastAsia="zh-CN"/>
        </w:rPr>
        <w:t>5G</w:t>
      </w:r>
      <w:r>
        <w:rPr>
          <w:rFonts w:hint="eastAsia" w:eastAsia="仿宋_GB2312" w:cs="Times New Roman"/>
          <w:color w:val="auto"/>
          <w:sz w:val="32"/>
          <w:szCs w:val="32"/>
          <w:highlight w:val="none"/>
        </w:rPr>
        <w:t>网络、物联网、传感技术融合建设，系统化部署城市数据采集智慧感知网络。推进城市智慧交通灯、智慧停车引导、智慧立体停车等智慧治堵措施广泛应用。</w:t>
      </w:r>
      <w:r>
        <w:rPr>
          <w:rFonts w:hint="eastAsia" w:eastAsia="仿宋_GB2312" w:cs="Times New Roman"/>
          <w:color w:val="auto"/>
          <w:sz w:val="32"/>
          <w:szCs w:val="32"/>
          <w:highlight w:val="none"/>
          <w:lang w:val="en-US" w:eastAsia="zh-CN"/>
        </w:rPr>
        <w:t>加快推进智慧城乡建设，推动城乡管理服务数字化。</w:t>
      </w:r>
    </w:p>
    <w:p>
      <w:pPr>
        <w:rPr>
          <w:rFonts w:hint="eastAsia" w:eastAsia="仿宋_GB2312" w:cs="Times New Roman"/>
          <w:color w:val="auto"/>
          <w:sz w:val="32"/>
          <w:szCs w:val="32"/>
          <w:highlight w:val="none"/>
          <w:lang w:val="en-US" w:eastAsia="zh-CN"/>
        </w:rPr>
      </w:pPr>
    </w:p>
    <w:p>
      <w:pPr>
        <w:pStyle w:val="2"/>
        <w:rPr>
          <w:rFonts w:hint="default"/>
          <w:lang w:val="en-US" w:eastAsia="zh-CN"/>
        </w:rPr>
      </w:pPr>
    </w:p>
    <w:p>
      <w:pPr>
        <w:pStyle w:val="4"/>
        <w:spacing w:before="62" w:after="62"/>
        <w:ind w:firstLine="0"/>
        <w:jc w:val="center"/>
        <w:rPr>
          <w:rFonts w:hint="default" w:ascii="宋体" w:hAnsi="宋体"/>
          <w:color w:val="auto"/>
          <w:highlight w:val="none"/>
        </w:rPr>
      </w:pPr>
      <w:bookmarkStart w:id="192" w:name="_Toc15826"/>
      <w:r>
        <w:rPr>
          <w:rFonts w:hint="default" w:ascii="宋体" w:hAnsi="宋体"/>
          <w:color w:val="auto"/>
          <w:highlight w:val="none"/>
        </w:rPr>
        <w:t>第</w:t>
      </w:r>
      <w:r>
        <w:rPr>
          <w:rFonts w:hint="eastAsia" w:ascii="宋体" w:hAnsi="宋体"/>
          <w:color w:val="auto"/>
          <w:highlight w:val="none"/>
          <w:lang w:val="en-US" w:eastAsia="zh-CN"/>
        </w:rPr>
        <w:t>三</w:t>
      </w:r>
      <w:r>
        <w:rPr>
          <w:rFonts w:hint="default" w:ascii="宋体" w:hAnsi="宋体"/>
          <w:color w:val="auto"/>
          <w:highlight w:val="none"/>
        </w:rPr>
        <w:t>节 强化城市精细化管理</w:t>
      </w:r>
      <w:bookmarkEnd w:id="189"/>
      <w:bookmarkEnd w:id="190"/>
      <w:bookmarkEnd w:id="191"/>
      <w:bookmarkEnd w:id="192"/>
    </w:p>
    <w:p>
      <w:pPr>
        <w:bidi w:val="0"/>
        <w:rPr>
          <w:rFonts w:hint="eastAsia"/>
          <w:color w:val="auto"/>
          <w:highlight w:val="none"/>
        </w:rPr>
      </w:pPr>
      <w:r>
        <w:rPr>
          <w:rFonts w:hint="eastAsia"/>
          <w:color w:val="auto"/>
          <w:highlight w:val="none"/>
        </w:rPr>
        <w:t>完善城市管理综合执法运行机制，强化城市精细化、智能化管理。打造现代化示范社区，为社区居民提供便利化、精细化服务，</w:t>
      </w:r>
      <w:r>
        <w:rPr>
          <w:rFonts w:hint="eastAsia"/>
          <w:bCs/>
          <w:color w:val="auto"/>
          <w:highlight w:val="none"/>
        </w:rPr>
        <w:t>建设绿色城市、海绵城市、韧性城市、人文城市</w:t>
      </w:r>
      <w:r>
        <w:rPr>
          <w:rFonts w:hint="eastAsia"/>
          <w:bCs/>
          <w:color w:val="auto"/>
          <w:highlight w:val="none"/>
          <w:lang w:eastAsia="zh-CN"/>
        </w:rPr>
        <w:t>，</w:t>
      </w:r>
      <w:r>
        <w:rPr>
          <w:rFonts w:hint="eastAsia"/>
          <w:color w:val="auto"/>
          <w:highlight w:val="none"/>
        </w:rPr>
        <w:t>不断提升居民的获得感和幸福感。</w:t>
      </w:r>
    </w:p>
    <w:p>
      <w:pPr>
        <w:bidi w:val="0"/>
        <w:rPr>
          <w:color w:val="auto"/>
          <w:highlight w:val="none"/>
        </w:rPr>
      </w:pPr>
      <w:r>
        <w:rPr>
          <w:rFonts w:hint="eastAsia"/>
          <w:b/>
          <w:bCs/>
          <w:color w:val="auto"/>
          <w:highlight w:val="none"/>
        </w:rPr>
        <w:t>完善</w:t>
      </w:r>
      <w:r>
        <w:rPr>
          <w:b/>
          <w:bCs/>
          <w:color w:val="auto"/>
          <w:highlight w:val="none"/>
        </w:rPr>
        <w:t>市政设施</w:t>
      </w:r>
      <w:r>
        <w:rPr>
          <w:rFonts w:hint="eastAsia"/>
          <w:b/>
          <w:bCs/>
          <w:color w:val="auto"/>
          <w:highlight w:val="none"/>
        </w:rPr>
        <w:t>建设</w:t>
      </w:r>
      <w:r>
        <w:rPr>
          <w:rFonts w:hint="eastAsia"/>
          <w:b/>
          <w:bCs/>
          <w:color w:val="auto"/>
          <w:highlight w:val="none"/>
          <w:lang w:eastAsia="zh-CN"/>
        </w:rPr>
        <w:t>。</w:t>
      </w:r>
      <w:r>
        <w:rPr>
          <w:color w:val="auto"/>
          <w:highlight w:val="none"/>
        </w:rPr>
        <w:t>加快对外连接道路建设，缓解内部道路交通压力</w:t>
      </w:r>
      <w:r>
        <w:rPr>
          <w:rFonts w:hint="eastAsia"/>
          <w:color w:val="auto"/>
          <w:highlight w:val="none"/>
          <w:lang w:eastAsia="zh-CN"/>
        </w:rPr>
        <w:t>。</w:t>
      </w:r>
      <w:r>
        <w:rPr>
          <w:color w:val="auto"/>
          <w:highlight w:val="none"/>
        </w:rPr>
        <w:t>加快内部道路系统建设，完善规划路网，打通断头路，形成可循环的、畅达的交通体系</w:t>
      </w:r>
      <w:r>
        <w:rPr>
          <w:rFonts w:hint="eastAsia"/>
          <w:color w:val="auto"/>
          <w:highlight w:val="none"/>
        </w:rPr>
        <w:t>。提高城</w:t>
      </w:r>
      <w:r>
        <w:rPr>
          <w:rFonts w:hint="eastAsia"/>
          <w:color w:val="auto"/>
          <w:highlight w:val="none"/>
          <w:lang w:val="en-US" w:eastAsia="zh-CN"/>
        </w:rPr>
        <w:t>区</w:t>
      </w:r>
      <w:r>
        <w:rPr>
          <w:rFonts w:hint="eastAsia"/>
          <w:color w:val="auto"/>
          <w:highlight w:val="none"/>
        </w:rPr>
        <w:t>照明的整体质量和水平，塑造高品位的城</w:t>
      </w:r>
      <w:r>
        <w:rPr>
          <w:rFonts w:hint="eastAsia"/>
          <w:color w:val="auto"/>
          <w:highlight w:val="none"/>
          <w:lang w:val="en-US" w:eastAsia="zh-CN"/>
        </w:rPr>
        <w:t>区</w:t>
      </w:r>
      <w:r>
        <w:rPr>
          <w:rFonts w:hint="eastAsia"/>
          <w:color w:val="auto"/>
          <w:highlight w:val="none"/>
        </w:rPr>
        <w:t>夜间公共环境。合理规划布局区域停车系统</w:t>
      </w:r>
      <w:r>
        <w:rPr>
          <w:rFonts w:hint="eastAsia"/>
          <w:color w:val="auto"/>
          <w:highlight w:val="none"/>
          <w:lang w:eastAsia="zh-CN"/>
        </w:rPr>
        <w:t>，</w:t>
      </w:r>
      <w:r>
        <w:rPr>
          <w:rFonts w:hint="eastAsia"/>
          <w:color w:val="auto"/>
          <w:highlight w:val="none"/>
        </w:rPr>
        <w:t>加强以“车位”为代表的交通基础设施建设，鼓励企业向社会开放停车资源，加快建设一批大型停车场，推广建设立体机械式停车位（库、楼）</w:t>
      </w:r>
      <w:r>
        <w:rPr>
          <w:rFonts w:hint="eastAsia"/>
          <w:color w:val="auto"/>
          <w:highlight w:val="none"/>
          <w:lang w:eastAsia="zh-CN"/>
        </w:rPr>
        <w:t>，</w:t>
      </w:r>
      <w:r>
        <w:rPr>
          <w:rFonts w:hint="eastAsia"/>
          <w:color w:val="auto"/>
          <w:highlight w:val="none"/>
        </w:rPr>
        <w:t>着力改善停车难问题。按照</w:t>
      </w:r>
      <w:r>
        <w:rPr>
          <w:rFonts w:hint="eastAsia" w:ascii="Times New Roman" w:hAnsi="Times New Roman"/>
          <w:color w:val="auto"/>
          <w:highlight w:val="none"/>
          <w:lang w:eastAsia="zh-CN"/>
        </w:rPr>
        <w:t>TOD</w:t>
      </w:r>
      <w:r>
        <w:rPr>
          <w:rFonts w:hint="eastAsia"/>
          <w:color w:val="auto"/>
          <w:highlight w:val="none"/>
        </w:rPr>
        <w:t>导向，落实“公交优先”战略，提高公交专用道通行效率。加强步行、自行车交通系统与居住区、公交枢纽、文体商业等公共设施无缝衔接。倡导绿色低碳出行，完善自行车出行路网，推动城区慢行交通系统建设。</w:t>
      </w:r>
    </w:p>
    <w:p>
      <w:pPr>
        <w:bidi w:val="0"/>
        <w:rPr>
          <w:color w:val="auto"/>
          <w:highlight w:val="none"/>
        </w:rPr>
      </w:pPr>
      <w:r>
        <w:rPr>
          <w:rFonts w:hint="eastAsia"/>
          <w:b/>
          <w:bCs/>
          <w:color w:val="auto"/>
          <w:highlight w:val="none"/>
        </w:rPr>
        <w:t>推进</w:t>
      </w:r>
      <w:r>
        <w:rPr>
          <w:b/>
          <w:bCs/>
          <w:color w:val="auto"/>
          <w:highlight w:val="none"/>
        </w:rPr>
        <w:t>建设城市园林绿化</w:t>
      </w:r>
      <w:r>
        <w:rPr>
          <w:rFonts w:hint="eastAsia"/>
          <w:b/>
          <w:bCs/>
          <w:color w:val="auto"/>
          <w:highlight w:val="none"/>
          <w:lang w:eastAsia="zh-CN"/>
        </w:rPr>
        <w:t>。</w:t>
      </w:r>
      <w:r>
        <w:rPr>
          <w:rFonts w:hint="eastAsia"/>
          <w:color w:val="auto"/>
          <w:highlight w:val="none"/>
        </w:rPr>
        <w:t>推进城市公园和绿地建设，着力构建分布均衡、结构合理、绿树成荫、安全优美的城市园林绿化体系，创建国家生态园林城市。建设一批高品质的综合公园、社区公园和专类公园，</w:t>
      </w:r>
      <w:r>
        <w:rPr>
          <w:rFonts w:hint="eastAsia"/>
          <w:color w:val="auto"/>
          <w:highlight w:val="none"/>
          <w:lang w:val="en-US" w:eastAsia="zh-CN"/>
        </w:rPr>
        <w:t>重点建设湛江湾国家海洋湿地公园，</w:t>
      </w:r>
      <w:r>
        <w:rPr>
          <w:rFonts w:hint="eastAsia"/>
          <w:color w:val="auto"/>
          <w:highlight w:val="none"/>
        </w:rPr>
        <w:t>稳步推进水岸公园、水系区域绿廊、沿海防护林带和生态景观带建设，大力推进立体绿化、垂直绿化、雨水花园、生态草沟、林荫停车场和防灾避险绿地的建设，提升绿地系统的综合功能。</w:t>
      </w:r>
    </w:p>
    <w:p>
      <w:pPr>
        <w:bidi w:val="0"/>
        <w:rPr>
          <w:rFonts w:hint="eastAsia"/>
          <w:color w:val="auto"/>
          <w:highlight w:val="none"/>
        </w:rPr>
      </w:pPr>
      <w:r>
        <w:rPr>
          <w:b/>
          <w:bCs/>
          <w:color w:val="auto"/>
          <w:highlight w:val="none"/>
        </w:rPr>
        <w:t>优化城市环境卫生</w:t>
      </w:r>
      <w:r>
        <w:rPr>
          <w:rFonts w:hint="eastAsia"/>
          <w:b/>
          <w:bCs/>
          <w:color w:val="auto"/>
          <w:highlight w:val="none"/>
          <w:lang w:eastAsia="zh-CN"/>
        </w:rPr>
        <w:t>。</w:t>
      </w:r>
      <w:r>
        <w:rPr>
          <w:rFonts w:hint="eastAsia"/>
          <w:color w:val="auto"/>
          <w:highlight w:val="none"/>
        </w:rPr>
        <w:t>构建现代环境治理体系，强化领导责任、企业责任</w:t>
      </w:r>
      <w:r>
        <w:rPr>
          <w:rFonts w:hint="eastAsia"/>
          <w:color w:val="auto"/>
          <w:highlight w:val="none"/>
          <w:lang w:eastAsia="zh-CN"/>
        </w:rPr>
        <w:t>。大力推进市区生活垃圾分类投放、收运和处置工作，逐步建立健全垃圾分类收集、分类运输、分类处置全过程管理体系。分阶段、分区域、分类别推进分类收集，逐步提高生活垃圾的资源化利用比例，减少垃圾焚烧和填埋的份额，提高垃圾末端处置安全性，实现垃圾源头减量、资源循环利用，促进城市精神文明与生态环境建设。</w:t>
      </w:r>
      <w:r>
        <w:rPr>
          <w:color w:val="auto"/>
          <w:highlight w:val="none"/>
        </w:rPr>
        <w:t>做好</w:t>
      </w:r>
      <w:r>
        <w:rPr>
          <w:rFonts w:hint="eastAsia"/>
          <w:color w:val="auto"/>
          <w:highlight w:val="none"/>
          <w:lang w:val="en-US" w:eastAsia="zh-CN"/>
        </w:rPr>
        <w:t>垃圾分类</w:t>
      </w:r>
      <w:r>
        <w:rPr>
          <w:color w:val="auto"/>
          <w:highlight w:val="none"/>
        </w:rPr>
        <w:t>宣传教育，提高市民垃圾分类意识，巩固国家卫生城市成果。</w:t>
      </w:r>
      <w:r>
        <w:rPr>
          <w:rFonts w:hint="eastAsia"/>
          <w:color w:val="auto"/>
          <w:highlight w:val="none"/>
        </w:rPr>
        <w:t>强化</w:t>
      </w:r>
      <w:r>
        <w:rPr>
          <w:rFonts w:hint="eastAsia"/>
          <w:color w:val="auto"/>
          <w:highlight w:val="none"/>
          <w:lang w:val="en-US" w:eastAsia="zh-CN"/>
        </w:rPr>
        <w:t>市区</w:t>
      </w:r>
      <w:r>
        <w:rPr>
          <w:rFonts w:hint="eastAsia"/>
          <w:color w:val="auto"/>
          <w:highlight w:val="none"/>
        </w:rPr>
        <w:t>移动源污染控制，严格新车环保达标监管，做好高排放非道路移动机械禁用区监管和船舶大气污染物排放控制区管理。完善城市绿色出行交通体系，提倡绿色低碳出行方式。</w:t>
      </w: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rPr>
      </w:pPr>
    </w:p>
    <w:tbl>
      <w:tblPr>
        <w:tblStyle w:val="14"/>
        <w:tblpPr w:leftFromText="180" w:rightFromText="180" w:vertAnchor="text" w:horzAnchor="margin" w:tblpXSpec="center" w:tblpY="314"/>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657" w:type="dxa"/>
            <w:noWrap w:val="0"/>
            <w:vAlign w:val="center"/>
          </w:tcPr>
          <w:p>
            <w:pPr>
              <w:widowControl w:val="0"/>
              <w:spacing w:line="280" w:lineRule="exact"/>
              <w:ind w:firstLine="0" w:firstLineChars="0"/>
              <w:jc w:val="center"/>
              <w:textAlignment w:val="auto"/>
              <w:rPr>
                <w:rFonts w:ascii="Calibri" w:hAnsi="Calibri" w:eastAsia="宋体" w:cs="Times New Roman"/>
                <w:b/>
                <w:color w:val="auto"/>
                <w:kern w:val="2"/>
                <w:sz w:val="24"/>
                <w:szCs w:val="24"/>
                <w:highlight w:val="none"/>
              </w:rPr>
            </w:pPr>
            <w:r>
              <w:rPr>
                <w:rFonts w:ascii="Times New Roman" w:hAnsi="Times New Roman" w:eastAsia="宋体" w:cs="Times New Roman"/>
                <w:b/>
                <w:color w:val="auto"/>
                <w:kern w:val="2"/>
                <w:sz w:val="28"/>
                <w:szCs w:val="28"/>
                <w:highlight w:val="none"/>
              </w:rPr>
              <w:t>专栏</w:t>
            </w:r>
            <w:r>
              <w:rPr>
                <w:rFonts w:hint="eastAsia" w:ascii="Times New Roman" w:hAnsi="Times New Roman" w:eastAsia="宋体" w:cs="Times New Roman"/>
                <w:b/>
                <w:color w:val="auto"/>
                <w:kern w:val="2"/>
                <w:sz w:val="28"/>
                <w:szCs w:val="28"/>
                <w:highlight w:val="none"/>
                <w:lang w:val="en-US" w:eastAsia="zh-CN"/>
              </w:rPr>
              <w:t>7</w:t>
            </w:r>
            <w:r>
              <w:rPr>
                <w:rFonts w:hint="eastAsia" w:ascii="Times New Roman" w:hAnsi="Times New Roman" w:eastAsia="宋体" w:cs="Times New Roman"/>
                <w:b/>
                <w:color w:val="auto"/>
                <w:kern w:val="2"/>
                <w:sz w:val="28"/>
                <w:szCs w:val="28"/>
                <w:highlight w:val="none"/>
              </w:rPr>
              <w:t>：</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十四五</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时期</w:t>
            </w:r>
            <w:r>
              <w:rPr>
                <w:rFonts w:hint="eastAsia" w:eastAsia="宋体" w:cs="Times New Roman"/>
                <w:b/>
                <w:color w:val="auto"/>
                <w:kern w:val="2"/>
                <w:sz w:val="28"/>
                <w:szCs w:val="28"/>
                <w:highlight w:val="none"/>
                <w:lang w:val="en-US" w:eastAsia="zh-CN"/>
              </w:rPr>
              <w:t>坡头</w:t>
            </w:r>
            <w:r>
              <w:rPr>
                <w:rFonts w:hint="eastAsia" w:ascii="Times New Roman" w:hAnsi="Times New Roman" w:eastAsia="宋体" w:cs="Times New Roman"/>
                <w:b/>
                <w:color w:val="auto"/>
                <w:kern w:val="2"/>
                <w:sz w:val="28"/>
                <w:szCs w:val="28"/>
                <w:highlight w:val="none"/>
                <w:lang w:val="en-US" w:eastAsia="zh-CN"/>
              </w:rPr>
              <w:t>区</w:t>
            </w:r>
            <w:r>
              <w:rPr>
                <w:rFonts w:hint="eastAsia" w:eastAsia="宋体" w:cs="Times New Roman"/>
                <w:b/>
                <w:color w:val="auto"/>
                <w:kern w:val="2"/>
                <w:sz w:val="28"/>
                <w:szCs w:val="28"/>
                <w:highlight w:val="none"/>
                <w:lang w:val="en-US" w:eastAsia="zh-CN"/>
              </w:rPr>
              <w:t>城市建设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8657" w:type="dxa"/>
            <w:noWrap w:val="0"/>
            <w:vAlign w:val="top"/>
          </w:tcPr>
          <w:p>
            <w:pPr>
              <w:widowControl w:val="0"/>
              <w:spacing w:line="360" w:lineRule="auto"/>
              <w:ind w:left="0" w:leftChars="0" w:firstLine="0" w:firstLineChars="0"/>
              <w:jc w:val="left"/>
              <w:textAlignment w:val="auto"/>
              <w:rPr>
                <w:rFonts w:hint="eastAsia" w:ascii="宋体" w:hAnsi="宋体" w:eastAsia="宋体" w:cs="宋体"/>
                <w:color w:val="auto"/>
                <w:kern w:val="2"/>
                <w:sz w:val="24"/>
                <w:szCs w:val="24"/>
                <w:highlight w:val="none"/>
                <w:lang w:val="en-US" w:eastAsia="zh-CN"/>
              </w:rPr>
            </w:pPr>
            <w:r>
              <w:rPr>
                <w:rFonts w:hint="eastAsia" w:ascii="Times New Roman" w:hAnsi="Times New Roman" w:eastAsia="宋体" w:cs="宋体"/>
                <w:b/>
                <w:bCs/>
                <w:color w:val="auto"/>
                <w:kern w:val="2"/>
                <w:sz w:val="24"/>
                <w:szCs w:val="24"/>
                <w:highlight w:val="none"/>
                <w:lang w:val="en-US" w:eastAsia="zh-CN"/>
              </w:rPr>
              <w:t>1.</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城市格局：</w:t>
            </w:r>
            <w:r>
              <w:rPr>
                <w:rFonts w:hint="eastAsia" w:ascii="宋体" w:hAnsi="宋体" w:eastAsia="宋体" w:cs="宋体"/>
                <w:color w:val="auto"/>
                <w:kern w:val="2"/>
                <w:sz w:val="24"/>
                <w:szCs w:val="24"/>
                <w:highlight w:val="none"/>
                <w:lang w:val="en-US" w:eastAsia="zh-CN"/>
              </w:rPr>
              <w:t>以海湾大桥、湛江内港湾为未来城市格局的横轴、纵轴，开展城市海岸带集中开发，重点打造桥东片区、奥体片区、湛一中片区、高铁片区，形成“一核、两轴、多组团”的空间布局。</w:t>
            </w:r>
          </w:p>
          <w:p>
            <w:pPr>
              <w:pStyle w:val="2"/>
              <w:spacing w:line="360" w:lineRule="auto"/>
              <w:ind w:left="0" w:leftChars="0" w:firstLine="0" w:firstLineChars="0"/>
              <w:rPr>
                <w:rFonts w:hint="eastAsia"/>
                <w:color w:val="auto"/>
                <w:highlight w:val="none"/>
                <w:lang w:val="en-US" w:eastAsia="zh-CN"/>
              </w:rPr>
            </w:pPr>
            <w:r>
              <w:rPr>
                <w:rFonts w:hint="eastAsia" w:ascii="Times New Roman" w:hAnsi="Times New Roman" w:cs="宋体"/>
                <w:b/>
                <w:bCs/>
                <w:color w:val="auto"/>
                <w:kern w:val="2"/>
                <w:sz w:val="24"/>
                <w:szCs w:val="24"/>
                <w:highlight w:val="none"/>
                <w:lang w:val="en-US" w:eastAsia="zh-CN"/>
              </w:rPr>
              <w:t xml:space="preserve">2. </w:t>
            </w:r>
            <w:r>
              <w:rPr>
                <w:rFonts w:hint="eastAsia" w:cs="宋体"/>
                <w:b/>
                <w:bCs/>
                <w:color w:val="auto"/>
                <w:kern w:val="2"/>
                <w:sz w:val="24"/>
                <w:szCs w:val="24"/>
                <w:highlight w:val="none"/>
                <w:lang w:val="en-US" w:eastAsia="zh-CN"/>
              </w:rPr>
              <w:t>医院建设：</w:t>
            </w:r>
            <w:r>
              <w:rPr>
                <w:rFonts w:hint="eastAsia"/>
                <w:color w:val="auto"/>
                <w:highlight w:val="none"/>
                <w:lang w:val="en-US" w:eastAsia="zh-CN"/>
              </w:rPr>
              <w:t>广东医科大学附属医院海东院区、湛江市坡头区妇幼保健院、湛江久和医院、坡头区人民医院综合楼。</w:t>
            </w:r>
          </w:p>
          <w:p>
            <w:pPr>
              <w:spacing w:line="360" w:lineRule="auto"/>
              <w:ind w:left="0" w:leftChars="0" w:firstLine="0" w:firstLineChars="0"/>
              <w:rPr>
                <w:rFonts w:hint="eastAsia" w:ascii="宋体" w:hAnsi="宋体" w:eastAsia="宋体" w:cs="宋体"/>
                <w:color w:val="auto"/>
                <w:kern w:val="2"/>
                <w:sz w:val="24"/>
                <w:szCs w:val="24"/>
                <w:highlight w:val="none"/>
                <w:lang w:val="en-US" w:eastAsia="zh-CN" w:bidi="zh-CN"/>
              </w:rPr>
            </w:pPr>
            <w:r>
              <w:rPr>
                <w:rFonts w:hint="eastAsia" w:ascii="Times New Roman" w:hAnsi="Times New Roman" w:eastAsia="宋体" w:cs="宋体"/>
                <w:b/>
                <w:bCs/>
                <w:color w:val="auto"/>
                <w:kern w:val="2"/>
                <w:sz w:val="24"/>
                <w:szCs w:val="24"/>
                <w:highlight w:val="none"/>
                <w:lang w:val="en-US" w:eastAsia="zh-CN" w:bidi="zh-CN"/>
              </w:rPr>
              <w:t>3.</w:t>
            </w:r>
            <w:r>
              <w:rPr>
                <w:rFonts w:hint="eastAsia" w:eastAsia="宋体" w:cs="宋体"/>
                <w:b/>
                <w:bCs/>
                <w:color w:val="auto"/>
                <w:kern w:val="2"/>
                <w:sz w:val="24"/>
                <w:szCs w:val="24"/>
                <w:highlight w:val="none"/>
                <w:lang w:val="en-US" w:eastAsia="zh-CN" w:bidi="zh-CN"/>
              </w:rPr>
              <w:t xml:space="preserve"> </w:t>
            </w:r>
            <w:r>
              <w:rPr>
                <w:rFonts w:hint="eastAsia" w:ascii="宋体" w:hAnsi="宋体" w:eastAsia="宋体" w:cs="宋体"/>
                <w:b/>
                <w:bCs/>
                <w:color w:val="auto"/>
                <w:kern w:val="2"/>
                <w:sz w:val="24"/>
                <w:szCs w:val="24"/>
                <w:highlight w:val="none"/>
                <w:lang w:val="en-US" w:eastAsia="zh-CN" w:bidi="zh-CN"/>
              </w:rPr>
              <w:t>学校建设：</w:t>
            </w:r>
            <w:r>
              <w:rPr>
                <w:rFonts w:hint="eastAsia" w:ascii="宋体" w:hAnsi="宋体" w:eastAsia="宋体" w:cs="宋体"/>
                <w:color w:val="auto"/>
                <w:kern w:val="2"/>
                <w:sz w:val="24"/>
                <w:szCs w:val="24"/>
                <w:highlight w:val="none"/>
                <w:lang w:val="en-US" w:eastAsia="zh-CN" w:bidi="zh-CN"/>
              </w:rPr>
              <w:t>湛江市第一中学新校区、湛江市三十一中、岭南师范学院附属第二中学、坡头区南调中学（坡头区第二小学）、龙头镇中心小学。</w:t>
            </w:r>
          </w:p>
          <w:p>
            <w:pPr>
              <w:pStyle w:val="2"/>
              <w:spacing w:line="360" w:lineRule="auto"/>
              <w:ind w:left="0" w:leftChars="0" w:firstLine="0" w:firstLineChars="0"/>
              <w:rPr>
                <w:rFonts w:hint="default"/>
                <w:color w:val="auto"/>
                <w:highlight w:val="none"/>
                <w:lang w:val="en-US" w:eastAsia="zh-CN"/>
              </w:rPr>
            </w:pPr>
            <w:r>
              <w:rPr>
                <w:rFonts w:hint="eastAsia" w:ascii="Times New Roman" w:hAnsi="Times New Roman" w:cs="宋体"/>
                <w:b/>
                <w:bCs/>
                <w:color w:val="auto"/>
                <w:kern w:val="2"/>
                <w:sz w:val="24"/>
                <w:szCs w:val="24"/>
                <w:highlight w:val="none"/>
                <w:lang w:val="en-US" w:eastAsia="zh-CN" w:bidi="zh-CN"/>
              </w:rPr>
              <w:t xml:space="preserve">4. </w:t>
            </w:r>
            <w:r>
              <w:rPr>
                <w:rFonts w:hint="eastAsia" w:cs="宋体"/>
                <w:b/>
                <w:bCs/>
                <w:color w:val="auto"/>
                <w:kern w:val="2"/>
                <w:sz w:val="24"/>
                <w:szCs w:val="24"/>
                <w:highlight w:val="none"/>
                <w:lang w:val="en-US" w:eastAsia="zh-CN" w:bidi="zh-CN"/>
              </w:rPr>
              <w:t>公园建设：</w:t>
            </w:r>
            <w:r>
              <w:rPr>
                <w:rFonts w:hint="eastAsia" w:ascii="宋体" w:hAnsi="宋体" w:eastAsia="宋体" w:cs="宋体"/>
                <w:color w:val="auto"/>
                <w:kern w:val="2"/>
                <w:sz w:val="24"/>
                <w:szCs w:val="24"/>
                <w:highlight w:val="none"/>
                <w:lang w:val="en-US" w:eastAsia="zh-CN"/>
              </w:rPr>
              <w:t>湛江湾国家海洋湿地公园项目</w:t>
            </w:r>
            <w:r>
              <w:rPr>
                <w:rFonts w:hint="eastAsia" w:cs="宋体"/>
                <w:color w:val="auto"/>
                <w:kern w:val="2"/>
                <w:sz w:val="24"/>
                <w:szCs w:val="24"/>
                <w:highlight w:val="none"/>
                <w:lang w:val="en-US" w:eastAsia="zh-CN"/>
              </w:rPr>
              <w:t>。</w:t>
            </w:r>
          </w:p>
          <w:p>
            <w:pPr>
              <w:widowControl w:val="0"/>
              <w:spacing w:line="360" w:lineRule="auto"/>
              <w:ind w:left="0" w:leftChars="0" w:firstLine="0" w:firstLineChars="0"/>
              <w:jc w:val="left"/>
              <w:textAlignment w:val="auto"/>
              <w:rPr>
                <w:rFonts w:hint="eastAsia" w:ascii="宋体" w:hAnsi="宋体" w:eastAsia="宋体" w:cs="宋体"/>
                <w:color w:val="auto"/>
                <w:kern w:val="2"/>
                <w:sz w:val="24"/>
                <w:szCs w:val="24"/>
                <w:highlight w:val="none"/>
                <w:lang w:eastAsia="zh-CN"/>
              </w:rPr>
            </w:pPr>
            <w:r>
              <w:rPr>
                <w:rFonts w:hint="eastAsia" w:ascii="Times New Roman" w:hAnsi="Times New Roman" w:eastAsia="宋体" w:cs="宋体"/>
                <w:b/>
                <w:bCs/>
                <w:color w:val="auto"/>
                <w:kern w:val="2"/>
                <w:sz w:val="24"/>
                <w:szCs w:val="24"/>
                <w:highlight w:val="none"/>
                <w:lang w:val="en-US" w:eastAsia="zh-CN"/>
              </w:rPr>
              <w:t>5.</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生活服务配套设施建设：</w:t>
            </w:r>
            <w:r>
              <w:rPr>
                <w:rFonts w:hint="eastAsia" w:ascii="宋体" w:hAnsi="宋体" w:eastAsia="宋体" w:cs="宋体"/>
                <w:color w:val="auto"/>
                <w:kern w:val="2"/>
                <w:sz w:val="24"/>
                <w:szCs w:val="24"/>
                <w:highlight w:val="none"/>
              </w:rPr>
              <w:t>海东城市综合体、湛江创新产业新城、港城壹号、红星</w:t>
            </w:r>
            <w:r>
              <w:rPr>
                <w:rFonts w:hint="eastAsia" w:ascii="宋体" w:hAnsi="宋体" w:eastAsia="宋体" w:cs="宋体"/>
                <w:color w:val="auto"/>
                <w:kern w:val="2"/>
                <w:sz w:val="24"/>
                <w:szCs w:val="24"/>
                <w:highlight w:val="none"/>
                <w:lang w:val="en-US" w:eastAsia="zh-CN"/>
              </w:rPr>
              <w:t>海景</w:t>
            </w:r>
            <w:r>
              <w:rPr>
                <w:rFonts w:hint="eastAsia" w:ascii="宋体" w:hAnsi="宋体" w:eastAsia="宋体" w:cs="宋体"/>
                <w:color w:val="auto"/>
                <w:kern w:val="2"/>
                <w:sz w:val="24"/>
                <w:szCs w:val="24"/>
                <w:highlight w:val="none"/>
              </w:rPr>
              <w:t>花园</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幸福港湾花园</w:t>
            </w:r>
            <w:r>
              <w:rPr>
                <w:rFonts w:hint="eastAsia" w:ascii="宋体" w:hAnsi="宋体" w:eastAsia="宋体" w:cs="宋体"/>
                <w:color w:val="auto"/>
                <w:kern w:val="2"/>
                <w:sz w:val="24"/>
                <w:szCs w:val="24"/>
                <w:highlight w:val="none"/>
              </w:rPr>
              <w:t>等项目</w:t>
            </w:r>
            <w:r>
              <w:rPr>
                <w:rFonts w:hint="eastAsia" w:ascii="宋体" w:hAnsi="宋体" w:eastAsia="宋体" w:cs="宋体"/>
                <w:color w:val="auto"/>
                <w:kern w:val="2"/>
                <w:sz w:val="24"/>
                <w:szCs w:val="24"/>
                <w:highlight w:val="none"/>
                <w:lang w:val="en-US" w:eastAsia="zh-CN" w:bidi="zh-CN"/>
              </w:rPr>
              <w:t>。</w:t>
            </w:r>
          </w:p>
          <w:p>
            <w:pPr>
              <w:widowControl w:val="0"/>
              <w:spacing w:line="360" w:lineRule="auto"/>
              <w:ind w:left="0" w:leftChars="0" w:firstLine="0" w:firstLineChars="0"/>
              <w:jc w:val="left"/>
              <w:textAlignment w:val="auto"/>
              <w:rPr>
                <w:rFonts w:hint="eastAsia" w:ascii="宋体" w:hAnsi="宋体" w:eastAsia="宋体" w:cs="宋体"/>
                <w:color w:val="auto"/>
                <w:kern w:val="2"/>
                <w:sz w:val="24"/>
                <w:szCs w:val="24"/>
                <w:highlight w:val="none"/>
              </w:rPr>
            </w:pPr>
            <w:r>
              <w:rPr>
                <w:rFonts w:hint="eastAsia" w:ascii="Times New Roman" w:hAnsi="Times New Roman" w:eastAsia="宋体" w:cs="宋体"/>
                <w:b/>
                <w:bCs/>
                <w:color w:val="auto"/>
                <w:kern w:val="2"/>
                <w:sz w:val="24"/>
                <w:szCs w:val="24"/>
                <w:highlight w:val="none"/>
                <w:lang w:val="en-US" w:eastAsia="zh-CN" w:bidi="zh-CN"/>
              </w:rPr>
              <w:t>6.</w:t>
            </w:r>
            <w:r>
              <w:rPr>
                <w:rFonts w:hint="eastAsia" w:eastAsia="宋体" w:cs="宋体"/>
                <w:b/>
                <w:bCs/>
                <w:color w:val="auto"/>
                <w:kern w:val="2"/>
                <w:sz w:val="24"/>
                <w:szCs w:val="24"/>
                <w:highlight w:val="none"/>
                <w:lang w:val="en-US" w:eastAsia="zh-CN" w:bidi="zh-CN"/>
              </w:rPr>
              <w:t xml:space="preserve"> </w:t>
            </w:r>
            <w:r>
              <w:rPr>
                <w:rFonts w:hint="eastAsia" w:ascii="宋体" w:hAnsi="宋体" w:eastAsia="宋体" w:cs="宋体"/>
                <w:b/>
                <w:bCs/>
                <w:color w:val="auto"/>
                <w:kern w:val="2"/>
                <w:sz w:val="24"/>
                <w:szCs w:val="24"/>
                <w:highlight w:val="none"/>
                <w:lang w:val="en-US" w:eastAsia="zh-CN" w:bidi="zh-CN"/>
              </w:rPr>
              <w:t>城市更新：</w:t>
            </w:r>
            <w:r>
              <w:rPr>
                <w:rFonts w:hint="eastAsia" w:ascii="宋体" w:hAnsi="宋体" w:eastAsia="宋体" w:cs="宋体"/>
                <w:color w:val="auto"/>
                <w:kern w:val="2"/>
                <w:sz w:val="24"/>
                <w:szCs w:val="24"/>
                <w:highlight w:val="none"/>
                <w:lang w:val="en-US" w:eastAsia="zh-CN" w:bidi="zh-CN"/>
              </w:rPr>
              <w:t>南调商服区、南油产业新城更新改造</w:t>
            </w:r>
            <w:r>
              <w:rPr>
                <w:rFonts w:hint="eastAsia" w:ascii="宋体" w:hAnsi="宋体" w:eastAsia="宋体" w:cs="宋体"/>
                <w:color w:val="auto"/>
                <w:kern w:val="2"/>
                <w:sz w:val="24"/>
                <w:szCs w:val="24"/>
                <w:highlight w:val="none"/>
              </w:rPr>
              <w:t>等项目</w:t>
            </w: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bidi="zh-CN"/>
              </w:rPr>
              <w:t>“十四五”时期投资</w:t>
            </w:r>
            <w:r>
              <w:rPr>
                <w:rFonts w:hint="eastAsia" w:ascii="Times New Roman" w:hAnsi="Times New Roman" w:eastAsia="宋体" w:cs="Times New Roman"/>
                <w:color w:val="auto"/>
                <w:kern w:val="2"/>
                <w:sz w:val="24"/>
                <w:szCs w:val="24"/>
                <w:highlight w:val="none"/>
                <w:lang w:val="en-US" w:eastAsia="zh-CN"/>
              </w:rPr>
              <w:t>35</w:t>
            </w:r>
            <w:r>
              <w:rPr>
                <w:rFonts w:hint="eastAsia" w:ascii="宋体" w:hAnsi="宋体" w:eastAsia="宋体" w:cs="宋体"/>
                <w:color w:val="auto"/>
                <w:kern w:val="2"/>
                <w:sz w:val="24"/>
                <w:szCs w:val="24"/>
                <w:highlight w:val="none"/>
              </w:rPr>
              <w:t>亿元。</w:t>
            </w:r>
          </w:p>
        </w:tc>
      </w:tr>
    </w:tbl>
    <w:p>
      <w:pPr>
        <w:pStyle w:val="2"/>
        <w:rPr>
          <w:rFonts w:hint="eastAsia"/>
          <w:color w:val="auto"/>
          <w:highlight w:val="none"/>
          <w:lang w:eastAsia="zh-CN"/>
        </w:rPr>
      </w:pPr>
    </w:p>
    <w:p>
      <w:pPr>
        <w:ind w:firstLine="640"/>
        <w:rPr>
          <w:color w:val="auto"/>
          <w:highlight w:val="none"/>
        </w:rPr>
      </w:pPr>
      <w:r>
        <w:rPr>
          <w:color w:val="auto"/>
          <w:highlight w:val="none"/>
        </w:rPr>
        <w:br w:type="page"/>
      </w:r>
    </w:p>
    <w:p>
      <w:pPr>
        <w:pStyle w:val="3"/>
        <w:spacing w:before="156" w:after="156"/>
        <w:rPr>
          <w:color w:val="auto"/>
          <w:highlight w:val="none"/>
        </w:rPr>
      </w:pPr>
      <w:bookmarkStart w:id="193" w:name="_Toc53003192"/>
      <w:bookmarkStart w:id="194" w:name="_Toc23199"/>
      <w:r>
        <w:rPr>
          <w:color w:val="auto"/>
          <w:highlight w:val="none"/>
        </w:rPr>
        <w:t>第</w:t>
      </w:r>
      <w:r>
        <w:rPr>
          <w:rFonts w:hint="eastAsia"/>
          <w:color w:val="auto"/>
          <w:highlight w:val="none"/>
          <w:lang w:val="en-US" w:eastAsia="zh-CN"/>
        </w:rPr>
        <w:t>七</w:t>
      </w:r>
      <w:r>
        <w:rPr>
          <w:color w:val="auto"/>
          <w:highlight w:val="none"/>
        </w:rPr>
        <w:t xml:space="preserve">章  </w:t>
      </w:r>
      <w:bookmarkEnd w:id="193"/>
      <w:r>
        <w:rPr>
          <w:rFonts w:hint="eastAsia"/>
          <w:color w:val="auto"/>
          <w:highlight w:val="none"/>
        </w:rPr>
        <w:t>统筹兼顾发展 迈进城乡融合新阶段</w:t>
      </w:r>
      <w:bookmarkEnd w:id="194"/>
    </w:p>
    <w:p>
      <w:pPr>
        <w:ind w:firstLine="640"/>
        <w:rPr>
          <w:color w:val="auto"/>
          <w:highlight w:val="none"/>
        </w:rPr>
      </w:pPr>
      <w:r>
        <w:rPr>
          <w:rFonts w:hint="eastAsia"/>
          <w:color w:val="auto"/>
          <w:highlight w:val="none"/>
        </w:rPr>
        <w:t>大力推进</w:t>
      </w:r>
      <w:r>
        <w:rPr>
          <w:color w:val="auto"/>
          <w:highlight w:val="none"/>
        </w:rPr>
        <w:t>乡村振兴战略，统筹兼顾，坚持走城乡融合发展之路，</w:t>
      </w:r>
      <w:r>
        <w:rPr>
          <w:rFonts w:hint="eastAsia"/>
          <w:color w:val="auto"/>
          <w:highlight w:val="none"/>
        </w:rPr>
        <w:t>推进城乡</w:t>
      </w:r>
      <w:r>
        <w:rPr>
          <w:color w:val="auto"/>
          <w:highlight w:val="none"/>
        </w:rPr>
        <w:t>人居环境整治，深化农村综合改革，推动城乡融合发展。</w:t>
      </w:r>
    </w:p>
    <w:p>
      <w:pPr>
        <w:pStyle w:val="4"/>
        <w:spacing w:before="62" w:after="62"/>
        <w:ind w:firstLine="0"/>
        <w:jc w:val="center"/>
        <w:rPr>
          <w:rFonts w:hint="default" w:ascii="宋体" w:hAnsi="宋体"/>
          <w:color w:val="auto"/>
          <w:highlight w:val="none"/>
        </w:rPr>
      </w:pPr>
      <w:bookmarkStart w:id="195" w:name="_Toc6174"/>
      <w:r>
        <w:rPr>
          <w:rFonts w:hint="default" w:ascii="宋体" w:hAnsi="宋体"/>
          <w:color w:val="auto"/>
          <w:highlight w:val="none"/>
        </w:rPr>
        <w:t>第一节 积极开展美丽乡村建设</w:t>
      </w:r>
      <w:bookmarkEnd w:id="195"/>
    </w:p>
    <w:p>
      <w:pPr>
        <w:rPr>
          <w:b w:val="0"/>
          <w:bCs w:val="0"/>
          <w:color w:val="auto"/>
          <w:highlight w:val="none"/>
        </w:rPr>
      </w:pPr>
      <w:r>
        <w:rPr>
          <w:rFonts w:hint="eastAsia"/>
          <w:b w:val="0"/>
          <w:bCs w:val="0"/>
          <w:color w:val="auto"/>
          <w:highlight w:val="none"/>
        </w:rPr>
        <w:t>因地制宜，分类施策，整体推进乡村规划建设，加快推进农村人居环境整治，全面推进建设生态宜居美丽乡村。</w:t>
      </w:r>
    </w:p>
    <w:p>
      <w:pPr>
        <w:rPr>
          <w:color w:val="auto"/>
          <w:highlight w:val="none"/>
        </w:rPr>
      </w:pPr>
      <w:r>
        <w:rPr>
          <w:b/>
          <w:bCs/>
          <w:color w:val="auto"/>
          <w:highlight w:val="none"/>
        </w:rPr>
        <w:t>持续巩固脱贫攻坚成果。</w:t>
      </w:r>
      <w:r>
        <w:rPr>
          <w:color w:val="auto"/>
          <w:highlight w:val="none"/>
        </w:rPr>
        <w:t>以镇村为单位、一户一台账全面查漏补缺，盯紧有返贫风险、边缘易致贫等重点群体，建立常态化返贫监测预警机制，及时将返贫人口和新发生贫困人口纳入帮扶。推动脱贫攻坚成果和乡村振兴有效衔接，持续深入实施</w:t>
      </w:r>
      <w:r>
        <w:rPr>
          <w:rFonts w:hint="eastAsia"/>
          <w:color w:val="auto"/>
          <w:highlight w:val="none"/>
        </w:rPr>
        <w:t>“</w:t>
      </w:r>
      <w:r>
        <w:rPr>
          <w:color w:val="auto"/>
          <w:highlight w:val="none"/>
        </w:rPr>
        <w:t>百企帮百村</w:t>
      </w:r>
      <w:r>
        <w:rPr>
          <w:rFonts w:hint="eastAsia"/>
          <w:color w:val="auto"/>
          <w:highlight w:val="none"/>
        </w:rPr>
        <w:t>”</w:t>
      </w:r>
      <w:r>
        <w:rPr>
          <w:color w:val="auto"/>
          <w:highlight w:val="none"/>
        </w:rPr>
        <w:t>行动，推动特色产业扶贫项目可持续发展，做好稳岗工作，加强扶贫公益性岗位管理，加强家庭服务、农村电商、转移就业等技能提升培训，坚决防止返贫和新增贫困人口。</w:t>
      </w:r>
    </w:p>
    <w:p>
      <w:pPr>
        <w:rPr>
          <w:rFonts w:ascii="仿宋" w:hAnsi="仿宋" w:cs="仿宋"/>
          <w:color w:val="auto"/>
          <w:highlight w:val="none"/>
        </w:rPr>
      </w:pPr>
      <w:r>
        <w:rPr>
          <w:b/>
          <w:bCs/>
          <w:color w:val="auto"/>
          <w:highlight w:val="none"/>
        </w:rPr>
        <w:t>大力培育新型农业经营主体。</w:t>
      </w:r>
      <w:r>
        <w:rPr>
          <w:color w:val="auto"/>
          <w:highlight w:val="none"/>
        </w:rPr>
        <w:t>坚持以</w:t>
      </w:r>
      <w:r>
        <w:rPr>
          <w:rFonts w:hint="eastAsia"/>
          <w:color w:val="auto"/>
          <w:highlight w:val="none"/>
        </w:rPr>
        <w:t>“</w:t>
      </w:r>
      <w:r>
        <w:rPr>
          <w:color w:val="auto"/>
          <w:highlight w:val="none"/>
        </w:rPr>
        <w:t>民办、民管、民受益</w:t>
      </w:r>
      <w:r>
        <w:rPr>
          <w:rFonts w:hint="eastAsia"/>
          <w:color w:val="auto"/>
          <w:highlight w:val="none"/>
        </w:rPr>
        <w:t>”</w:t>
      </w:r>
      <w:r>
        <w:rPr>
          <w:color w:val="auto"/>
          <w:highlight w:val="none"/>
        </w:rPr>
        <w:t>为原则，以优势产业和特色产品为依托，培育和发展生产经营型、专业技能型和专业服务型各类经营主体，大力发展扶持农民合作社、家庭农场等新型农业经营主体建设，探索推广</w:t>
      </w:r>
      <w:r>
        <w:rPr>
          <w:rFonts w:hint="eastAsia"/>
          <w:color w:val="auto"/>
          <w:highlight w:val="none"/>
        </w:rPr>
        <w:t>“</w:t>
      </w:r>
      <w:r>
        <w:rPr>
          <w:color w:val="auto"/>
          <w:highlight w:val="none"/>
        </w:rPr>
        <w:t>龙头企业+合作社+基地+农民</w:t>
      </w:r>
      <w:r>
        <w:rPr>
          <w:rFonts w:hint="eastAsia"/>
          <w:color w:val="auto"/>
          <w:highlight w:val="none"/>
        </w:rPr>
        <w:t>”“</w:t>
      </w:r>
      <w:r>
        <w:rPr>
          <w:color w:val="auto"/>
          <w:highlight w:val="none"/>
        </w:rPr>
        <w:t>专业市场+合作社+农民</w:t>
      </w:r>
      <w:r>
        <w:rPr>
          <w:rFonts w:hint="eastAsia"/>
          <w:color w:val="auto"/>
          <w:highlight w:val="none"/>
        </w:rPr>
        <w:t>”</w:t>
      </w:r>
      <w:r>
        <w:rPr>
          <w:color w:val="auto"/>
          <w:highlight w:val="none"/>
        </w:rPr>
        <w:t>等经营模式，支持和鼓励农民就业创业；支持发展多环节托管、关键环节托管和全程托管等社会化服务模式，提高</w:t>
      </w:r>
      <w:r>
        <w:rPr>
          <w:rFonts w:hint="eastAsia"/>
          <w:color w:val="auto"/>
          <w:highlight w:val="none"/>
        </w:rPr>
        <w:t>“</w:t>
      </w:r>
      <w:r>
        <w:rPr>
          <w:color w:val="auto"/>
          <w:highlight w:val="none"/>
        </w:rPr>
        <w:t>一村一品、一镇一业</w:t>
      </w:r>
      <w:r>
        <w:rPr>
          <w:rFonts w:hint="eastAsia"/>
          <w:color w:val="auto"/>
          <w:highlight w:val="none"/>
        </w:rPr>
        <w:t>”</w:t>
      </w:r>
      <w:r>
        <w:rPr>
          <w:color w:val="auto"/>
          <w:highlight w:val="none"/>
        </w:rPr>
        <w:t>发展组织化程度，完善新型经营主体与小农户的利益联结机制。</w:t>
      </w:r>
      <w:r>
        <w:rPr>
          <w:rFonts w:hint="eastAsia" w:ascii="仿宋" w:hAnsi="仿宋" w:cs="仿宋"/>
          <w:color w:val="auto"/>
          <w:highlight w:val="none"/>
        </w:rPr>
        <w:t>到</w:t>
      </w:r>
      <w:r>
        <w:rPr>
          <w:rFonts w:hint="eastAsia" w:ascii="Times New Roman" w:hAnsi="Times New Roman" w:cs="仿宋"/>
          <w:color w:val="auto"/>
          <w:highlight w:val="none"/>
          <w:lang w:eastAsia="zh-CN"/>
        </w:rPr>
        <w:t>2025</w:t>
      </w:r>
      <w:r>
        <w:rPr>
          <w:rFonts w:hint="eastAsia" w:ascii="仿宋" w:hAnsi="仿宋" w:cs="仿宋"/>
          <w:color w:val="auto"/>
          <w:highlight w:val="none"/>
        </w:rPr>
        <w:t>年，通过培育典型和政策资金扶持，新培育农民合作社</w:t>
      </w:r>
      <w:r>
        <w:rPr>
          <w:rFonts w:hint="eastAsia" w:ascii="Times New Roman" w:hAnsi="Times New Roman" w:cs="仿宋"/>
          <w:color w:val="auto"/>
          <w:highlight w:val="none"/>
          <w:lang w:val="en-US" w:eastAsia="zh-CN"/>
        </w:rPr>
        <w:t>5</w:t>
      </w:r>
      <w:r>
        <w:rPr>
          <w:rFonts w:hint="eastAsia" w:ascii="Times New Roman" w:hAnsi="Times New Roman" w:cs="仿宋"/>
          <w:color w:val="auto"/>
          <w:highlight w:val="none"/>
          <w:lang w:eastAsia="zh-CN"/>
        </w:rPr>
        <w:t>0</w:t>
      </w:r>
      <w:r>
        <w:rPr>
          <w:rFonts w:hint="eastAsia" w:ascii="仿宋" w:hAnsi="仿宋" w:cs="仿宋"/>
          <w:color w:val="auto"/>
          <w:highlight w:val="none"/>
        </w:rPr>
        <w:t>家、家庭农场</w:t>
      </w:r>
      <w:r>
        <w:rPr>
          <w:rFonts w:hint="eastAsia" w:ascii="Times New Roman" w:hAnsi="Times New Roman" w:cs="仿宋"/>
          <w:color w:val="auto"/>
          <w:highlight w:val="none"/>
          <w:lang w:eastAsia="zh-CN"/>
        </w:rPr>
        <w:t>30</w:t>
      </w:r>
      <w:r>
        <w:rPr>
          <w:rFonts w:hint="eastAsia" w:ascii="仿宋" w:hAnsi="仿宋" w:cs="仿宋"/>
          <w:color w:val="auto"/>
          <w:highlight w:val="none"/>
        </w:rPr>
        <w:t>家。</w:t>
      </w:r>
    </w:p>
    <w:p>
      <w:pPr>
        <w:rPr>
          <w:rFonts w:ascii="仿宋" w:hAnsi="仿宋" w:cs="仿宋"/>
          <w:color w:val="auto"/>
          <w:highlight w:val="none"/>
        </w:rPr>
      </w:pPr>
      <w:r>
        <w:rPr>
          <w:b/>
          <w:bCs/>
          <w:color w:val="auto"/>
          <w:highlight w:val="none"/>
        </w:rPr>
        <w:t>积极开展农科教育培训。</w:t>
      </w:r>
      <w:r>
        <w:rPr>
          <w:color w:val="auto"/>
          <w:highlight w:val="none"/>
        </w:rPr>
        <w:t>深化基层农技推广体系改革，推进农业科技下乡，在坡头、龙头、官渡、乾塘、南三等农业大镇举办当地特色品种种植管理技术培训班和田头实践技术指导、基地观摩等活动，支撑农业高质量发展；贯彻落实执行国家农业机械化教育培训政策</w:t>
      </w:r>
      <w:r>
        <w:rPr>
          <w:rFonts w:hint="eastAsia" w:ascii="仿宋" w:hAnsi="仿宋" w:cs="仿宋"/>
          <w:color w:val="auto"/>
          <w:highlight w:val="none"/>
        </w:rPr>
        <w:t>，加大农业机械化应用技术与农机从业人员教育培训工作，培养高素质农民队伍。“十四五”期间，每年进行</w:t>
      </w:r>
      <w:r>
        <w:rPr>
          <w:rFonts w:hint="eastAsia" w:ascii="Times New Roman" w:hAnsi="Times New Roman" w:cs="仿宋"/>
          <w:color w:val="auto"/>
          <w:highlight w:val="none"/>
          <w:lang w:eastAsia="zh-CN"/>
        </w:rPr>
        <w:t>1</w:t>
      </w:r>
      <w:r>
        <w:rPr>
          <w:rFonts w:hint="eastAsia" w:ascii="仿宋" w:hAnsi="仿宋" w:cs="仿宋"/>
          <w:color w:val="auto"/>
          <w:highlight w:val="none"/>
        </w:rPr>
        <w:t>场农科教育培训，每次培训</w:t>
      </w:r>
      <w:r>
        <w:rPr>
          <w:rFonts w:hint="eastAsia" w:ascii="Times New Roman" w:hAnsi="Times New Roman" w:cs="仿宋"/>
          <w:color w:val="auto"/>
          <w:highlight w:val="none"/>
          <w:lang w:val="en-US" w:eastAsia="zh-CN"/>
        </w:rPr>
        <w:t>1</w:t>
      </w:r>
      <w:r>
        <w:rPr>
          <w:rFonts w:hint="eastAsia" w:ascii="Times New Roman" w:hAnsi="Times New Roman" w:cs="仿宋"/>
          <w:color w:val="auto"/>
          <w:highlight w:val="none"/>
          <w:lang w:eastAsia="zh-CN"/>
        </w:rPr>
        <w:t>00</w:t>
      </w:r>
      <w:r>
        <w:rPr>
          <w:rFonts w:hint="eastAsia" w:ascii="仿宋" w:hAnsi="仿宋" w:cs="仿宋"/>
          <w:color w:val="auto"/>
          <w:highlight w:val="none"/>
        </w:rPr>
        <w:t>人次以上。</w:t>
      </w:r>
    </w:p>
    <w:p>
      <w:pPr>
        <w:rPr>
          <w:rFonts w:hint="eastAsia" w:eastAsia="仿宋"/>
          <w:color w:val="auto"/>
          <w:highlight w:val="none"/>
          <w:lang w:eastAsia="zh-CN"/>
        </w:rPr>
      </w:pPr>
      <w:r>
        <w:rPr>
          <w:b/>
          <w:bCs/>
          <w:color w:val="auto"/>
          <w:highlight w:val="none"/>
        </w:rPr>
        <w:t>着力改善农村人居环境。</w:t>
      </w:r>
      <w:r>
        <w:rPr>
          <w:rFonts w:hint="eastAsia" w:ascii="仿宋" w:hAnsi="仿宋" w:cs="仿宋"/>
          <w:color w:val="auto"/>
          <w:highlight w:val="none"/>
        </w:rPr>
        <w:t>巩固“三清三拆三整治”成果，持续深化实施“千村示范、万村整治”工程，建立农村人居环境整治长效机制，确保整治成效不返潮。补齐农村基础设施短板，改善乡村公共文化服务，加快推进编规划、通饮水、收垃圾、治污水、改厕所、修道路、装路灯、建</w:t>
      </w:r>
      <w:r>
        <w:rPr>
          <w:rFonts w:hint="eastAsia" w:ascii="Times New Roman" w:hAnsi="Times New Roman" w:cs="仿宋"/>
          <w:color w:val="auto"/>
          <w:highlight w:val="none"/>
          <w:lang w:eastAsia="zh-CN"/>
        </w:rPr>
        <w:t>N</w:t>
      </w:r>
      <w:r>
        <w:rPr>
          <w:rFonts w:hint="eastAsia" w:ascii="仿宋" w:hAnsi="仿宋" w:cs="仿宋"/>
          <w:color w:val="auto"/>
          <w:highlight w:val="none"/>
        </w:rPr>
        <w:t>中心“八项工程”，加快完成乾塘（坡头）沿海乡镇城乡一体化供水工程建设。到</w:t>
      </w:r>
      <w:r>
        <w:rPr>
          <w:rFonts w:hint="eastAsia" w:ascii="Times New Roman" w:hAnsi="Times New Roman" w:cs="仿宋"/>
          <w:color w:val="auto"/>
          <w:highlight w:val="none"/>
          <w:lang w:eastAsia="zh-CN"/>
        </w:rPr>
        <w:t>2025</w:t>
      </w:r>
      <w:r>
        <w:rPr>
          <w:rFonts w:hint="eastAsia" w:ascii="仿宋" w:hAnsi="仿宋" w:cs="仿宋"/>
          <w:color w:val="auto"/>
          <w:highlight w:val="none"/>
        </w:rPr>
        <w:t>年，健全生活垃圾收运处置体系，推进农村生活垃圾分类减量，全区集中供水和垃圾处理设施基本实现自然村全覆盖，</w:t>
      </w:r>
      <w:r>
        <w:rPr>
          <w:rFonts w:hint="eastAsia" w:ascii="Times New Roman" w:hAnsi="Times New Roman" w:cs="仿宋"/>
          <w:color w:val="auto"/>
          <w:highlight w:val="none"/>
          <w:lang w:eastAsia="zh-CN"/>
        </w:rPr>
        <w:t>80%</w:t>
      </w:r>
      <w:r>
        <w:rPr>
          <w:rFonts w:hint="eastAsia" w:ascii="仿宋" w:hAnsi="仿宋" w:cs="仿宋"/>
          <w:color w:val="auto"/>
          <w:highlight w:val="none"/>
        </w:rPr>
        <w:t>以上行政村建有污水处理设施，农村卫生户用厕所全面普及，公共厕所布局合理，厕所粪污基本得到有效处理或资源化利用，</w:t>
      </w:r>
      <w:r>
        <w:rPr>
          <w:rFonts w:hint="eastAsia" w:ascii="Times New Roman" w:hAnsi="Times New Roman" w:cs="仿宋"/>
          <w:color w:val="auto"/>
          <w:highlight w:val="none"/>
          <w:lang w:eastAsia="zh-CN"/>
        </w:rPr>
        <w:t>100%</w:t>
      </w:r>
      <w:r>
        <w:rPr>
          <w:rFonts w:hint="eastAsia" w:ascii="仿宋" w:hAnsi="仿宋" w:cs="仿宋"/>
          <w:color w:val="auto"/>
          <w:highlight w:val="none"/>
        </w:rPr>
        <w:t>自然村全面完成村道路面硬化</w:t>
      </w:r>
      <w:r>
        <w:rPr>
          <w:rFonts w:hint="eastAsia" w:ascii="仿宋" w:hAnsi="仿宋" w:cs="仿宋"/>
          <w:color w:val="auto"/>
          <w:highlight w:val="none"/>
          <w:lang w:eastAsia="zh-CN"/>
        </w:rPr>
        <w:t>。</w:t>
      </w:r>
    </w:p>
    <w:p>
      <w:pPr>
        <w:rPr>
          <w:color w:val="auto"/>
          <w:highlight w:val="none"/>
        </w:rPr>
      </w:pPr>
      <w:r>
        <w:rPr>
          <w:b/>
          <w:bCs/>
          <w:color w:val="auto"/>
          <w:highlight w:val="none"/>
        </w:rPr>
        <w:t>建设生态宜居美丽乡村。</w:t>
      </w:r>
      <w:r>
        <w:rPr>
          <w:color w:val="auto"/>
          <w:highlight w:val="none"/>
        </w:rPr>
        <w:t>在全面完成农村人居环境综合整治的基础上，推进全区更多行政村达到美丽宜居村标准。扎实推进农房管控，加快推进农村破旧泥砖房清理整治，完成破旧泥砖房、</w:t>
      </w:r>
      <w:r>
        <w:rPr>
          <w:rFonts w:hint="eastAsia"/>
          <w:color w:val="auto"/>
          <w:highlight w:val="none"/>
        </w:rPr>
        <w:t>“</w:t>
      </w:r>
      <w:r>
        <w:rPr>
          <w:color w:val="auto"/>
          <w:highlight w:val="none"/>
        </w:rPr>
        <w:t>一户多宅</w:t>
      </w:r>
      <w:r>
        <w:rPr>
          <w:rFonts w:hint="eastAsia"/>
          <w:color w:val="auto"/>
          <w:highlight w:val="none"/>
        </w:rPr>
        <w:t>”</w:t>
      </w:r>
      <w:r>
        <w:rPr>
          <w:color w:val="auto"/>
          <w:highlight w:val="none"/>
        </w:rPr>
        <w:t>的清拆工作，通过村庄规划和住房管控，完善农村宅基地和农房建设管理的政策，基本实现外观整洁、建设有序和管理规范。着力提升乡村风貌，通过畜禽集中圈养、空置宅基地的圈围绿化和</w:t>
      </w:r>
      <w:r>
        <w:rPr>
          <w:rFonts w:hint="eastAsia"/>
          <w:color w:val="auto"/>
          <w:highlight w:val="none"/>
        </w:rPr>
        <w:t>“</w:t>
      </w:r>
      <w:r>
        <w:rPr>
          <w:color w:val="auto"/>
          <w:highlight w:val="none"/>
        </w:rPr>
        <w:t>三小园</w:t>
      </w:r>
      <w:r>
        <w:rPr>
          <w:rFonts w:hint="eastAsia"/>
          <w:color w:val="auto"/>
          <w:highlight w:val="none"/>
        </w:rPr>
        <w:t>”</w:t>
      </w:r>
      <w:r>
        <w:rPr>
          <w:color w:val="auto"/>
          <w:highlight w:val="none"/>
        </w:rPr>
        <w:t>的建设，因地制宜做好清拆空地的美化绿化，保护好有保存价值的建筑和</w:t>
      </w:r>
      <w:r>
        <w:rPr>
          <w:rFonts w:hint="eastAsia" w:ascii="仿宋" w:hAnsi="仿宋" w:cs="仿宋"/>
          <w:color w:val="auto"/>
          <w:highlight w:val="none"/>
        </w:rPr>
        <w:t>古树名木、次生林。深入推进特色乡村创建工作，积极创建集生态、教育、文化、休闲、观光为一体的现代农业公园和休闲农业与乡村旅游示范镇（点）。集中力量资源打造若干示范村、示范片区，以点带面、梯次创建、连线成片、示范带动、全域推进，滚动建设一批批生态宜居美丽村，到</w:t>
      </w:r>
      <w:r>
        <w:rPr>
          <w:rFonts w:hint="eastAsia" w:ascii="Times New Roman" w:hAnsi="Times New Roman" w:cs="仿宋"/>
          <w:color w:val="auto"/>
          <w:highlight w:val="none"/>
          <w:lang w:eastAsia="zh-CN"/>
        </w:rPr>
        <w:t>2025</w:t>
      </w:r>
      <w:r>
        <w:rPr>
          <w:rFonts w:hint="eastAsia" w:ascii="仿宋" w:hAnsi="仿宋" w:cs="仿宋"/>
          <w:color w:val="auto"/>
          <w:highlight w:val="none"/>
        </w:rPr>
        <w:t>年，</w:t>
      </w:r>
      <w:r>
        <w:rPr>
          <w:rFonts w:hint="eastAsia" w:ascii="Times New Roman" w:hAnsi="Times New Roman" w:cs="仿宋"/>
          <w:color w:val="auto"/>
          <w:highlight w:val="none"/>
          <w:lang w:eastAsia="zh-CN"/>
        </w:rPr>
        <w:t>80%</w:t>
      </w:r>
      <w:r>
        <w:rPr>
          <w:rFonts w:hint="eastAsia" w:ascii="仿宋" w:hAnsi="仿宋" w:cs="仿宋"/>
          <w:color w:val="auto"/>
          <w:highlight w:val="none"/>
        </w:rPr>
        <w:t>村庄达到美丽宜居村以上标准。</w:t>
      </w:r>
    </w:p>
    <w:p>
      <w:pPr>
        <w:pStyle w:val="4"/>
        <w:spacing w:before="62" w:after="62"/>
        <w:ind w:firstLine="0"/>
        <w:jc w:val="center"/>
        <w:rPr>
          <w:rFonts w:hint="default" w:ascii="宋体" w:hAnsi="宋体"/>
          <w:color w:val="auto"/>
          <w:highlight w:val="none"/>
        </w:rPr>
      </w:pPr>
      <w:bookmarkStart w:id="196" w:name="_Toc14685"/>
      <w:r>
        <w:rPr>
          <w:rFonts w:hint="default" w:ascii="宋体" w:hAnsi="宋体"/>
          <w:color w:val="auto"/>
          <w:highlight w:val="none"/>
        </w:rPr>
        <w:t>第二节 深化农村综合改革</w:t>
      </w:r>
      <w:bookmarkEnd w:id="196"/>
    </w:p>
    <w:p>
      <w:pPr>
        <w:rPr>
          <w:color w:val="auto"/>
          <w:highlight w:val="none"/>
        </w:rPr>
      </w:pPr>
      <w:r>
        <w:rPr>
          <w:b/>
          <w:bCs/>
          <w:color w:val="auto"/>
          <w:highlight w:val="none"/>
        </w:rPr>
        <w:t>深化农村土地制度改革。</w:t>
      </w:r>
      <w:r>
        <w:rPr>
          <w:color w:val="auto"/>
          <w:highlight w:val="none"/>
        </w:rPr>
        <w:t>完善农村承包地</w:t>
      </w:r>
      <w:r>
        <w:rPr>
          <w:rFonts w:hint="eastAsia"/>
          <w:color w:val="auto"/>
          <w:highlight w:val="none"/>
        </w:rPr>
        <w:t>“</w:t>
      </w:r>
      <w:r>
        <w:rPr>
          <w:color w:val="auto"/>
          <w:highlight w:val="none"/>
        </w:rPr>
        <w:t>三权分置</w:t>
      </w:r>
      <w:r>
        <w:rPr>
          <w:rFonts w:hint="eastAsia"/>
          <w:color w:val="auto"/>
          <w:highlight w:val="none"/>
        </w:rPr>
        <w:t>”</w:t>
      </w:r>
      <w:r>
        <w:rPr>
          <w:color w:val="auto"/>
          <w:highlight w:val="none"/>
        </w:rPr>
        <w:t>制度，在依法保护集体土地所有权和农户承包权前提下，平等保护土地经营权，有序推进农村土地流转、拆旧复垦，发展多种形式适度规模经营。</w:t>
      </w:r>
      <w:r>
        <w:rPr>
          <w:rFonts w:hint="eastAsia"/>
          <w:color w:val="auto"/>
          <w:highlight w:val="none"/>
        </w:rPr>
        <w:t>落实第二轮土地承包到期后再延长三十年政策。</w:t>
      </w:r>
      <w:r>
        <w:rPr>
          <w:color w:val="auto"/>
          <w:highlight w:val="none"/>
        </w:rPr>
        <w:t>扎实推进房地一体农村宅基地和集体建设用地确权登记工作，建立健全农村宅基地管理工作相关制度，指导农村宅基地管理的相关工作。</w:t>
      </w:r>
      <w:r>
        <w:rPr>
          <w:rFonts w:hint="eastAsia"/>
          <w:color w:val="auto"/>
          <w:highlight w:val="none"/>
        </w:rPr>
        <w:t>建立土地征收公共利益用地认定机制。健全农村土地流转奖补机制。以坡头镇、乾塘镇为试点，打造城乡融合示范区。</w:t>
      </w:r>
    </w:p>
    <w:p>
      <w:pPr>
        <w:rPr>
          <w:color w:val="auto"/>
          <w:highlight w:val="none"/>
        </w:rPr>
      </w:pPr>
      <w:r>
        <w:rPr>
          <w:b/>
          <w:bCs/>
          <w:color w:val="auto"/>
          <w:highlight w:val="none"/>
        </w:rPr>
        <w:t>推进农村集体产权制度改革。</w:t>
      </w:r>
      <w:r>
        <w:rPr>
          <w:color w:val="auto"/>
          <w:highlight w:val="none"/>
        </w:rPr>
        <w:t>进一步规范农村三资管理，完成农村集体资产清产核资工作，深化涉农资金统筹整合以及农村集体产权制度改革，健全农村集体经济运行体制机制。在对清产核资工作完成</w:t>
      </w:r>
      <w:r>
        <w:rPr>
          <w:rFonts w:hint="eastAsia"/>
          <w:color w:val="auto"/>
          <w:highlight w:val="none"/>
        </w:rPr>
        <w:t>“</w:t>
      </w:r>
      <w:r>
        <w:rPr>
          <w:color w:val="auto"/>
          <w:highlight w:val="none"/>
        </w:rPr>
        <w:t>清查、登记、核实、公示、确认</w:t>
      </w:r>
      <w:r>
        <w:rPr>
          <w:rFonts w:hint="eastAsia"/>
          <w:color w:val="auto"/>
          <w:highlight w:val="none"/>
        </w:rPr>
        <w:t>”</w:t>
      </w:r>
      <w:r>
        <w:rPr>
          <w:color w:val="auto"/>
          <w:highlight w:val="none"/>
        </w:rPr>
        <w:t>后，做好清产核资系统上报，以及组织成员界定和发放权证。鼓励农村集体经济组织以自主开发、合资合作、出租入股等方式，盘活利用未承包到户的集体</w:t>
      </w:r>
      <w:r>
        <w:rPr>
          <w:rFonts w:hint="eastAsia"/>
          <w:color w:val="auto"/>
          <w:highlight w:val="none"/>
        </w:rPr>
        <w:t>“</w:t>
      </w:r>
      <w:r>
        <w:rPr>
          <w:color w:val="auto"/>
          <w:highlight w:val="none"/>
        </w:rPr>
        <w:t>四荒</w:t>
      </w:r>
      <w:r>
        <w:rPr>
          <w:rFonts w:hint="eastAsia"/>
          <w:color w:val="auto"/>
          <w:highlight w:val="none"/>
        </w:rPr>
        <w:t>”</w:t>
      </w:r>
      <w:r>
        <w:rPr>
          <w:color w:val="auto"/>
          <w:highlight w:val="none"/>
        </w:rPr>
        <w:t>地、果园、养殖水面以及生态环境、人文历史、各类房产设施、集体建设用地等资产资源，发展现代农业、休闲农业和乡村旅游、社区养老、物业租赁等项目。</w:t>
      </w:r>
    </w:p>
    <w:p>
      <w:pPr>
        <w:pStyle w:val="4"/>
        <w:spacing w:before="62" w:after="62"/>
        <w:ind w:firstLine="0"/>
        <w:jc w:val="center"/>
        <w:rPr>
          <w:rFonts w:hint="default" w:ascii="宋体" w:hAnsi="宋体"/>
          <w:color w:val="auto"/>
          <w:highlight w:val="none"/>
        </w:rPr>
      </w:pPr>
      <w:bookmarkStart w:id="197" w:name="_Toc18459"/>
      <w:r>
        <w:rPr>
          <w:rFonts w:hint="default" w:ascii="宋体" w:hAnsi="宋体"/>
          <w:color w:val="auto"/>
          <w:highlight w:val="none"/>
        </w:rPr>
        <w:t>第三节 推动城乡融合发展</w:t>
      </w:r>
      <w:bookmarkEnd w:id="197"/>
    </w:p>
    <w:p>
      <w:pPr>
        <w:rPr>
          <w:color w:val="auto"/>
          <w:highlight w:val="none"/>
        </w:rPr>
      </w:pPr>
      <w:r>
        <w:rPr>
          <w:rFonts w:hint="eastAsia"/>
          <w:b/>
          <w:bCs/>
          <w:color w:val="auto"/>
          <w:highlight w:val="none"/>
        </w:rPr>
        <w:t>推</w:t>
      </w:r>
      <w:r>
        <w:rPr>
          <w:b/>
          <w:bCs/>
          <w:color w:val="auto"/>
          <w:highlight w:val="none"/>
        </w:rPr>
        <w:t>进城乡基础设施一体化。</w:t>
      </w:r>
      <w:r>
        <w:rPr>
          <w:rFonts w:hint="eastAsia"/>
          <w:color w:val="auto"/>
          <w:highlight w:val="none"/>
        </w:rPr>
        <w:t>统筹规划布局城乡基础设施，推动乡村基础设施提档升级，重点推进农村道路、农村供水、农村电网、宽带网络工程、农村污水处理等环保基础设施建设，加快城乡基础设施互联互通</w:t>
      </w:r>
      <w:r>
        <w:rPr>
          <w:color w:val="auto"/>
          <w:highlight w:val="none"/>
        </w:rPr>
        <w:t>。</w:t>
      </w:r>
    </w:p>
    <w:p>
      <w:pPr>
        <w:rPr>
          <w:color w:val="auto"/>
          <w:highlight w:val="none"/>
        </w:rPr>
      </w:pPr>
      <w:r>
        <w:rPr>
          <w:b/>
          <w:bCs/>
          <w:color w:val="auto"/>
          <w:highlight w:val="none"/>
        </w:rPr>
        <w:t>促进城乡公共服务均等化。</w:t>
      </w:r>
      <w:r>
        <w:rPr>
          <w:color w:val="auto"/>
          <w:highlight w:val="none"/>
        </w:rPr>
        <w:t>推动公共服务向农村延伸、社会事业向农村覆盖，完善城乡教育资源均衡配置，加快农村学校宽带网络接入，增加乡村教师待遇和乡村普惠性学前教育资源；加强乡村医疗卫生人才和医疗卫生服务设施的建设，鼓励城区医院对口帮扶或发展远程医疗，缓解农村居民看病难、看病贵问题；加快补齐农村公共文化设施短板，推动镇级图书馆、文化馆、博物馆等建设；继续深入完善城乡统一的社保制度，统筹城乡社会救助服务等。</w:t>
      </w:r>
    </w:p>
    <w:p>
      <w:pPr>
        <w:widowControl/>
        <w:shd w:val="clear" w:color="auto" w:fill="FFFFFF"/>
        <w:rPr>
          <w:rFonts w:hint="eastAsia" w:ascii="仿宋" w:hAnsi="仿宋" w:cs="仿宋"/>
          <w:color w:val="auto"/>
          <w:szCs w:val="32"/>
          <w:highlight w:val="none"/>
        </w:rPr>
      </w:pPr>
      <w:r>
        <w:rPr>
          <w:rFonts w:hint="eastAsia" w:ascii="仿宋" w:hAnsi="仿宋" w:cs="仿宋"/>
          <w:b/>
          <w:bCs/>
          <w:color w:val="auto"/>
          <w:szCs w:val="32"/>
          <w:highlight w:val="none"/>
        </w:rPr>
        <w:t>统筹城乡发展要素共有共享。</w:t>
      </w:r>
      <w:r>
        <w:rPr>
          <w:rFonts w:hint="eastAsia"/>
          <w:color w:val="auto"/>
          <w:szCs w:val="22"/>
          <w:highlight w:val="none"/>
        </w:rPr>
        <w:t>探索运用信息化等技术建立城乡发展要素便捷使用、共享系统。通过政策支持、资源倾斜、城乡互助等途径统筹考虑解决城乡就业、教育、养老、医疗卫生、公共文化、社会救助等迫切事项和薄弱环节，使发展要素配置更加均衡、使用更加便捷、服务更加高效</w:t>
      </w:r>
      <w:r>
        <w:rPr>
          <w:rFonts w:hint="eastAsia" w:ascii="仿宋" w:hAnsi="仿宋" w:cs="仿宋"/>
          <w:color w:val="auto"/>
          <w:szCs w:val="32"/>
          <w:highlight w:val="none"/>
        </w:rPr>
        <w:t>。</w:t>
      </w:r>
    </w:p>
    <w:tbl>
      <w:tblPr>
        <w:tblStyle w:val="14"/>
        <w:tblpPr w:leftFromText="180" w:rightFromText="180" w:vertAnchor="text" w:horzAnchor="margin" w:tblpXSpec="center" w:tblpY="314"/>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57" w:type="dxa"/>
            <w:noWrap w:val="0"/>
            <w:vAlign w:val="center"/>
          </w:tcPr>
          <w:p>
            <w:pPr>
              <w:widowControl w:val="0"/>
              <w:spacing w:line="240" w:lineRule="auto"/>
              <w:ind w:firstLine="0" w:firstLineChars="0"/>
              <w:jc w:val="center"/>
              <w:textAlignment w:val="auto"/>
              <w:rPr>
                <w:rFonts w:hint="default" w:ascii="Calibri" w:hAnsi="Calibri" w:eastAsia="宋体" w:cs="Times New Roman"/>
                <w:b/>
                <w:color w:val="auto"/>
                <w:kern w:val="2"/>
                <w:sz w:val="24"/>
                <w:szCs w:val="24"/>
                <w:highlight w:val="none"/>
                <w:lang w:val="en-US"/>
              </w:rPr>
            </w:pPr>
            <w:r>
              <w:rPr>
                <w:rFonts w:ascii="Times New Roman" w:hAnsi="Times New Roman" w:eastAsia="宋体" w:cs="Times New Roman"/>
                <w:b/>
                <w:color w:val="auto"/>
                <w:kern w:val="2"/>
                <w:sz w:val="28"/>
                <w:szCs w:val="28"/>
                <w:highlight w:val="none"/>
              </w:rPr>
              <w:t>专栏</w:t>
            </w:r>
            <w:r>
              <w:rPr>
                <w:rFonts w:hint="eastAsia" w:ascii="Times New Roman" w:hAnsi="Times New Roman" w:eastAsia="宋体" w:cs="Times New Roman"/>
                <w:b/>
                <w:color w:val="auto"/>
                <w:kern w:val="2"/>
                <w:sz w:val="28"/>
                <w:szCs w:val="28"/>
                <w:highlight w:val="none"/>
                <w:lang w:val="en-US" w:eastAsia="zh-CN"/>
              </w:rPr>
              <w:t>8</w:t>
            </w:r>
            <w:r>
              <w:rPr>
                <w:rFonts w:hint="eastAsia" w:ascii="Times New Roman" w:hAnsi="Times New Roman" w:eastAsia="宋体" w:cs="Times New Roman"/>
                <w:b/>
                <w:color w:val="auto"/>
                <w:kern w:val="2"/>
                <w:sz w:val="28"/>
                <w:szCs w:val="28"/>
                <w:highlight w:val="none"/>
              </w:rPr>
              <w:t>：</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十四五</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时期</w:t>
            </w:r>
            <w:r>
              <w:rPr>
                <w:rFonts w:hint="eastAsia" w:eastAsia="宋体" w:cs="Times New Roman"/>
                <w:b/>
                <w:color w:val="auto"/>
                <w:kern w:val="2"/>
                <w:sz w:val="28"/>
                <w:szCs w:val="28"/>
                <w:highlight w:val="none"/>
                <w:lang w:val="en-US" w:eastAsia="zh-CN"/>
              </w:rPr>
              <w:t>坡头</w:t>
            </w:r>
            <w:r>
              <w:rPr>
                <w:rFonts w:hint="eastAsia" w:ascii="Times New Roman" w:hAnsi="Times New Roman" w:eastAsia="宋体" w:cs="Times New Roman"/>
                <w:b/>
                <w:color w:val="auto"/>
                <w:kern w:val="2"/>
                <w:sz w:val="28"/>
                <w:szCs w:val="28"/>
                <w:highlight w:val="none"/>
                <w:lang w:val="en-US" w:eastAsia="zh-CN"/>
              </w:rPr>
              <w:t>区</w:t>
            </w:r>
            <w:r>
              <w:rPr>
                <w:rFonts w:hint="eastAsia" w:eastAsia="宋体" w:cs="Times New Roman"/>
                <w:b/>
                <w:color w:val="auto"/>
                <w:kern w:val="2"/>
                <w:sz w:val="28"/>
                <w:szCs w:val="28"/>
                <w:highlight w:val="none"/>
                <w:lang w:val="en-US" w:eastAsia="zh-CN"/>
              </w:rPr>
              <w:t>“三农”建设项目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8657" w:type="dxa"/>
            <w:noWrap w:val="0"/>
            <w:vAlign w:val="top"/>
          </w:tcPr>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rPr>
            </w:pPr>
            <w:r>
              <w:rPr>
                <w:rFonts w:hint="eastAsia" w:ascii="Times New Roman" w:hAnsi="Times New Roman" w:eastAsia="宋体" w:cs="宋体"/>
                <w:b/>
                <w:bCs/>
                <w:color w:val="auto"/>
                <w:kern w:val="2"/>
                <w:sz w:val="24"/>
                <w:szCs w:val="24"/>
                <w:highlight w:val="none"/>
                <w:lang w:val="en-US" w:eastAsia="zh-CN"/>
              </w:rPr>
              <w:t>1.</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基建项目：</w:t>
            </w:r>
            <w:r>
              <w:rPr>
                <w:rFonts w:hint="eastAsia" w:ascii="宋体" w:hAnsi="宋体" w:eastAsia="宋体" w:cs="宋体"/>
                <w:color w:val="auto"/>
                <w:kern w:val="2"/>
                <w:sz w:val="24"/>
                <w:szCs w:val="24"/>
                <w:highlight w:val="none"/>
              </w:rPr>
              <w:t>重点建设</w:t>
            </w:r>
            <w:r>
              <w:rPr>
                <w:rFonts w:hint="eastAsia" w:ascii="宋体" w:hAnsi="宋体" w:eastAsia="宋体" w:cs="宋体"/>
                <w:color w:val="auto"/>
                <w:kern w:val="2"/>
                <w:sz w:val="24"/>
                <w:szCs w:val="24"/>
                <w:highlight w:val="none"/>
                <w:lang w:val="en-US" w:eastAsia="zh-CN"/>
              </w:rPr>
              <w:t>乡村振兴农村短板项目、乾塘（坡头）沿海乡镇城乡一体化供水工程项目，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Times New Roman"/>
                <w:color w:val="auto"/>
                <w:kern w:val="2"/>
                <w:sz w:val="24"/>
                <w:szCs w:val="24"/>
                <w:highlight w:val="none"/>
                <w:lang w:val="en-US" w:eastAsia="zh-CN"/>
              </w:rPr>
              <w:t>7</w:t>
            </w:r>
            <w:r>
              <w:rPr>
                <w:rFonts w:hint="eastAsia" w:ascii="宋体" w:hAnsi="宋体" w:eastAsia="宋体" w:cs="宋体"/>
                <w:color w:val="auto"/>
                <w:kern w:val="2"/>
                <w:sz w:val="24"/>
                <w:szCs w:val="24"/>
                <w:highlight w:val="none"/>
              </w:rPr>
              <w:t>亿元。</w:t>
            </w:r>
          </w:p>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rPr>
              <w:t>2.</w:t>
            </w:r>
            <w:r>
              <w:rPr>
                <w:rFonts w:hint="eastAsia" w:eastAsia="宋体" w:cs="Times New Roman"/>
                <w:b/>
                <w:bCs/>
                <w:color w:val="auto"/>
                <w:kern w:val="2"/>
                <w:sz w:val="24"/>
                <w:szCs w:val="24"/>
                <w:highlight w:val="none"/>
                <w:lang w:val="en-US" w:eastAsia="zh-CN"/>
              </w:rPr>
              <w:t xml:space="preserve"> 渔港</w:t>
            </w:r>
            <w:r>
              <w:rPr>
                <w:rFonts w:ascii="Times New Roman" w:hAnsi="Times New Roman" w:eastAsia="宋体" w:cs="Times New Roman"/>
                <w:b/>
                <w:bCs/>
                <w:color w:val="auto"/>
                <w:kern w:val="2"/>
                <w:sz w:val="24"/>
                <w:szCs w:val="24"/>
                <w:highlight w:val="none"/>
              </w:rPr>
              <w:t>项目：</w:t>
            </w:r>
            <w:r>
              <w:rPr>
                <w:rFonts w:hint="eastAsia" w:ascii="宋体" w:hAnsi="宋体" w:eastAsia="宋体" w:cs="宋体"/>
                <w:bCs/>
                <w:color w:val="auto"/>
                <w:kern w:val="2"/>
                <w:sz w:val="24"/>
                <w:szCs w:val="24"/>
                <w:highlight w:val="none"/>
              </w:rPr>
              <w:t>加快建设湛江湾渔港、粤水渔业远洋渔业基地，</w:t>
            </w:r>
            <w:r>
              <w:rPr>
                <w:rFonts w:hint="eastAsia" w:ascii="宋体" w:hAnsi="宋体" w:eastAsia="宋体" w:cs="宋体"/>
                <w:bCs/>
                <w:color w:val="auto"/>
                <w:kern w:val="2"/>
                <w:sz w:val="24"/>
                <w:szCs w:val="24"/>
                <w:highlight w:val="none"/>
                <w:lang w:val="en-US" w:eastAsia="zh-CN"/>
              </w:rPr>
              <w:t>推动智能船舶海上试验场南三岛综合保障基地建设，</w:t>
            </w:r>
            <w:r>
              <w:rPr>
                <w:rFonts w:hint="eastAsia" w:ascii="宋体" w:hAnsi="宋体" w:eastAsia="宋体" w:cs="宋体"/>
                <w:bCs/>
                <w:color w:val="auto"/>
                <w:kern w:val="2"/>
                <w:sz w:val="24"/>
                <w:szCs w:val="24"/>
                <w:highlight w:val="none"/>
              </w:rPr>
              <w:t>“十四五”时期投资</w:t>
            </w:r>
            <w:r>
              <w:rPr>
                <w:rFonts w:hint="eastAsia" w:ascii="Times New Roman" w:hAnsi="Times New Roman" w:eastAsia="宋体" w:cs="宋体"/>
                <w:bCs/>
                <w:color w:val="auto"/>
                <w:kern w:val="2"/>
                <w:sz w:val="24"/>
                <w:szCs w:val="24"/>
                <w:highlight w:val="none"/>
                <w:lang w:val="en-US" w:eastAsia="zh-CN"/>
              </w:rPr>
              <w:t>35</w:t>
            </w:r>
            <w:r>
              <w:rPr>
                <w:rFonts w:hint="eastAsia" w:ascii="宋体" w:hAnsi="宋体" w:eastAsia="宋体" w:cs="宋体"/>
                <w:bCs/>
                <w:color w:val="auto"/>
                <w:kern w:val="2"/>
                <w:sz w:val="24"/>
                <w:szCs w:val="24"/>
                <w:highlight w:val="none"/>
              </w:rPr>
              <w:t>亿元。</w:t>
            </w:r>
          </w:p>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rPr>
            </w:pPr>
            <w:r>
              <w:rPr>
                <w:rFonts w:hint="eastAsia" w:ascii="Times New Roman" w:hAnsi="Times New Roman" w:eastAsia="宋体" w:cs="宋体"/>
                <w:b/>
                <w:bCs/>
                <w:color w:val="auto"/>
                <w:kern w:val="2"/>
                <w:sz w:val="24"/>
                <w:szCs w:val="24"/>
                <w:highlight w:val="none"/>
                <w:lang w:val="en-US" w:eastAsia="zh-CN"/>
              </w:rPr>
              <w:t>3.</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农业项目：</w:t>
            </w:r>
            <w:r>
              <w:rPr>
                <w:rFonts w:hint="eastAsia" w:ascii="宋体" w:hAnsi="宋体" w:eastAsia="宋体" w:cs="宋体"/>
                <w:color w:val="auto"/>
                <w:kern w:val="2"/>
                <w:sz w:val="24"/>
                <w:szCs w:val="24"/>
                <w:highlight w:val="none"/>
              </w:rPr>
              <w:t>重点建设</w:t>
            </w:r>
            <w:r>
              <w:rPr>
                <w:rFonts w:hint="eastAsia" w:ascii="宋体" w:hAnsi="宋体" w:eastAsia="宋体" w:cs="宋体"/>
                <w:color w:val="auto"/>
                <w:kern w:val="2"/>
                <w:sz w:val="24"/>
                <w:szCs w:val="24"/>
                <w:highlight w:val="none"/>
                <w:lang w:val="en-US" w:eastAsia="zh-CN"/>
              </w:rPr>
              <w:t>坡头区对虾国家现代农业产业园项目、坡头区莲藕省级现代农业产业园项目、坡头区龙头镇广东健正畜牧有限公司的畜牧标准化规模种猪养殖场项目，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Times New Roman"/>
                <w:color w:val="auto"/>
                <w:kern w:val="2"/>
                <w:sz w:val="24"/>
                <w:szCs w:val="24"/>
                <w:highlight w:val="none"/>
                <w:lang w:val="en-US" w:eastAsia="zh-CN"/>
              </w:rPr>
              <w:t>3</w:t>
            </w:r>
            <w:r>
              <w:rPr>
                <w:rFonts w:hint="eastAsia" w:ascii="宋体" w:hAnsi="宋体" w:eastAsia="宋体" w:cs="宋体"/>
                <w:color w:val="auto"/>
                <w:kern w:val="2"/>
                <w:sz w:val="24"/>
                <w:szCs w:val="24"/>
                <w:highlight w:val="none"/>
              </w:rPr>
              <w:t>亿元。</w:t>
            </w:r>
          </w:p>
          <w:p>
            <w:pPr>
              <w:widowControl w:val="0"/>
              <w:spacing w:line="400" w:lineRule="exact"/>
              <w:ind w:left="0" w:leftChars="0" w:firstLine="0" w:firstLineChars="0"/>
              <w:jc w:val="left"/>
              <w:textAlignment w:val="auto"/>
              <w:rPr>
                <w:rFonts w:hint="default" w:ascii="宋体" w:hAnsi="宋体" w:eastAsia="宋体" w:cs="宋体"/>
                <w:color w:val="auto"/>
                <w:kern w:val="2"/>
                <w:sz w:val="24"/>
                <w:szCs w:val="24"/>
                <w:highlight w:val="none"/>
                <w:lang w:val="en-US"/>
              </w:rPr>
            </w:pPr>
            <w:r>
              <w:rPr>
                <w:rFonts w:hint="eastAsia" w:ascii="Times New Roman" w:hAnsi="Times New Roman" w:eastAsia="宋体" w:cs="Times New Roman"/>
                <w:b/>
                <w:bCs/>
                <w:color w:val="auto"/>
                <w:kern w:val="2"/>
                <w:sz w:val="24"/>
                <w:szCs w:val="24"/>
                <w:highlight w:val="none"/>
                <w:lang w:val="en-US" w:eastAsia="zh-CN"/>
              </w:rPr>
              <w:t>4.</w:t>
            </w:r>
            <w:r>
              <w:rPr>
                <w:rFonts w:hint="eastAsia" w:eastAsia="宋体" w:cs="Times New Roman"/>
                <w:b/>
                <w:bCs/>
                <w:color w:val="auto"/>
                <w:kern w:val="2"/>
                <w:sz w:val="24"/>
                <w:szCs w:val="24"/>
                <w:highlight w:val="none"/>
                <w:lang w:val="en-US" w:eastAsia="zh-CN"/>
              </w:rPr>
              <w:t xml:space="preserve"> 农村公路</w:t>
            </w:r>
            <w:r>
              <w:rPr>
                <w:rFonts w:ascii="Times New Roman" w:hAnsi="Times New Roman" w:eastAsia="宋体" w:cs="Times New Roman"/>
                <w:b/>
                <w:bCs/>
                <w:color w:val="auto"/>
                <w:kern w:val="2"/>
                <w:sz w:val="24"/>
                <w:szCs w:val="24"/>
                <w:highlight w:val="none"/>
              </w:rPr>
              <w:t>：</w:t>
            </w:r>
            <w:r>
              <w:rPr>
                <w:rFonts w:hint="eastAsia" w:eastAsia="宋体" w:cs="Times New Roman"/>
                <w:b w:val="0"/>
                <w:bCs w:val="0"/>
                <w:color w:val="auto"/>
                <w:kern w:val="2"/>
                <w:sz w:val="24"/>
                <w:szCs w:val="24"/>
                <w:highlight w:val="none"/>
                <w:lang w:val="en-US" w:eastAsia="zh-CN"/>
              </w:rPr>
              <w:t>推进</w:t>
            </w:r>
            <w:r>
              <w:rPr>
                <w:rFonts w:hint="eastAsia" w:ascii="宋体" w:hAnsi="宋体" w:eastAsia="宋体" w:cs="宋体"/>
                <w:bCs/>
                <w:color w:val="auto"/>
                <w:kern w:val="2"/>
                <w:sz w:val="24"/>
                <w:szCs w:val="24"/>
                <w:highlight w:val="none"/>
              </w:rPr>
              <w:t>坡头区南三镇县道、坡头镇县道乾平线、坡头区南三镇、龙头镇和官渡镇县道新线、坡头区龙头镇乡道</w:t>
            </w:r>
            <w:r>
              <w:rPr>
                <w:rFonts w:hint="eastAsia" w:ascii="Times New Roman" w:hAnsi="Times New Roman" w:eastAsia="宋体" w:cs="宋体"/>
                <w:bCs/>
                <w:color w:val="auto"/>
                <w:kern w:val="2"/>
                <w:sz w:val="24"/>
                <w:szCs w:val="24"/>
                <w:highlight w:val="none"/>
                <w:lang w:eastAsia="zh-CN"/>
              </w:rPr>
              <w:t>Y444</w:t>
            </w:r>
            <w:r>
              <w:rPr>
                <w:rFonts w:hint="eastAsia" w:ascii="宋体" w:hAnsi="宋体" w:eastAsia="宋体" w:cs="宋体"/>
                <w:bCs/>
                <w:color w:val="auto"/>
                <w:kern w:val="2"/>
                <w:sz w:val="24"/>
                <w:szCs w:val="24"/>
                <w:highlight w:val="none"/>
              </w:rPr>
              <w:t>线路等农村四好公路升级改造。“十四五”时期投资</w:t>
            </w:r>
            <w:r>
              <w:rPr>
                <w:rFonts w:hint="eastAsia" w:ascii="Times New Roman" w:hAnsi="Times New Roman" w:eastAsia="宋体" w:cs="宋体"/>
                <w:bCs/>
                <w:color w:val="auto"/>
                <w:kern w:val="2"/>
                <w:sz w:val="24"/>
                <w:szCs w:val="24"/>
                <w:highlight w:val="none"/>
                <w:lang w:val="en-US" w:eastAsia="zh-CN"/>
              </w:rPr>
              <w:t>7</w:t>
            </w:r>
            <w:r>
              <w:rPr>
                <w:rFonts w:hint="eastAsia" w:ascii="宋体" w:hAnsi="宋体" w:eastAsia="宋体" w:cs="宋体"/>
                <w:bCs/>
                <w:color w:val="auto"/>
                <w:kern w:val="2"/>
                <w:sz w:val="24"/>
                <w:szCs w:val="24"/>
                <w:highlight w:val="none"/>
              </w:rPr>
              <w:t>亿元。</w:t>
            </w:r>
          </w:p>
        </w:tc>
      </w:tr>
    </w:tbl>
    <w:p>
      <w:pPr>
        <w:pStyle w:val="2"/>
        <w:rPr>
          <w:rFonts w:hint="eastAsia"/>
          <w:color w:val="auto"/>
          <w:highlight w:val="none"/>
        </w:rPr>
      </w:pPr>
    </w:p>
    <w:p>
      <w:pPr>
        <w:pStyle w:val="2"/>
        <w:rPr>
          <w:color w:val="auto"/>
          <w:highlight w:val="none"/>
        </w:rPr>
      </w:pPr>
    </w:p>
    <w:p>
      <w:pPr>
        <w:ind w:firstLine="0" w:firstLineChars="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198" w:name="_Toc1374"/>
      <w:r>
        <w:rPr>
          <w:color w:val="auto"/>
          <w:highlight w:val="none"/>
        </w:rPr>
        <w:t>第</w:t>
      </w:r>
      <w:r>
        <w:rPr>
          <w:rFonts w:hint="eastAsia"/>
          <w:color w:val="auto"/>
          <w:highlight w:val="none"/>
          <w:lang w:val="en-US" w:eastAsia="zh-CN"/>
        </w:rPr>
        <w:t>八</w:t>
      </w:r>
      <w:r>
        <w:rPr>
          <w:color w:val="auto"/>
          <w:highlight w:val="none"/>
        </w:rPr>
        <w:t xml:space="preserve">章  </w:t>
      </w:r>
      <w:bookmarkEnd w:id="150"/>
      <w:r>
        <w:rPr>
          <w:rFonts w:hint="eastAsia"/>
          <w:color w:val="auto"/>
          <w:highlight w:val="none"/>
        </w:rPr>
        <w:t>促进融合发展 探索区域合作新模式</w:t>
      </w:r>
      <w:bookmarkEnd w:id="198"/>
    </w:p>
    <w:p>
      <w:pPr>
        <w:ind w:firstLine="640"/>
        <w:rPr>
          <w:color w:val="auto"/>
          <w:highlight w:val="none"/>
        </w:rPr>
      </w:pPr>
      <w:bookmarkStart w:id="199" w:name="_Toc32231"/>
      <w:bookmarkStart w:id="200" w:name="_Toc25000"/>
      <w:bookmarkStart w:id="201" w:name="_Toc1182"/>
      <w:bookmarkStart w:id="202" w:name="_Toc7359"/>
      <w:bookmarkStart w:id="203" w:name="_Toc19471"/>
      <w:r>
        <w:rPr>
          <w:rFonts w:hint="eastAsia"/>
          <w:color w:val="auto"/>
          <w:highlight w:val="none"/>
          <w:lang w:val="en-US" w:eastAsia="zh-CN"/>
        </w:rPr>
        <w:t>借助</w:t>
      </w:r>
      <w:r>
        <w:rPr>
          <w:rFonts w:hint="eastAsia"/>
          <w:color w:val="auto"/>
          <w:highlight w:val="none"/>
        </w:rPr>
        <w:t>“双区”建设机遇，积极参与区域协调发展体制机制建设，</w:t>
      </w:r>
      <w:r>
        <w:rPr>
          <w:color w:val="auto"/>
          <w:highlight w:val="none"/>
        </w:rPr>
        <w:t>发挥坡头比较优势，继续推进</w:t>
      </w:r>
      <w:r>
        <w:rPr>
          <w:rFonts w:hint="eastAsia"/>
          <w:color w:val="auto"/>
          <w:highlight w:val="none"/>
        </w:rPr>
        <w:t>“</w:t>
      </w:r>
      <w:r>
        <w:rPr>
          <w:color w:val="auto"/>
          <w:highlight w:val="none"/>
        </w:rPr>
        <w:t>四区合一</w:t>
      </w:r>
      <w:r>
        <w:rPr>
          <w:rFonts w:hint="eastAsia"/>
          <w:color w:val="auto"/>
          <w:highlight w:val="none"/>
        </w:rPr>
        <w:t>”</w:t>
      </w:r>
      <w:r>
        <w:rPr>
          <w:color w:val="auto"/>
          <w:highlight w:val="none"/>
        </w:rPr>
        <w:t>深度融合，深入推进</w:t>
      </w:r>
      <w:r>
        <w:rPr>
          <w:rFonts w:hint="eastAsia"/>
          <w:color w:val="auto"/>
          <w:highlight w:val="none"/>
          <w:lang w:eastAsia="zh-CN"/>
        </w:rPr>
        <w:t>国家沿海经济带先行区科创中心</w:t>
      </w:r>
      <w:r>
        <w:rPr>
          <w:rFonts w:hint="eastAsia"/>
          <w:color w:val="auto"/>
          <w:highlight w:val="none"/>
        </w:rPr>
        <w:t>、</w:t>
      </w:r>
      <w:r>
        <w:rPr>
          <w:rFonts w:hint="eastAsia"/>
          <w:color w:val="auto"/>
          <w:highlight w:val="none"/>
          <w:lang w:eastAsia="zh-CN"/>
        </w:rPr>
        <w:t>省域副中心城市核心城区</w:t>
      </w:r>
      <w:r>
        <w:rPr>
          <w:rFonts w:hint="eastAsia"/>
          <w:color w:val="auto"/>
          <w:highlight w:val="none"/>
        </w:rPr>
        <w:t>、国家海洋休闲旅游示范中心和</w:t>
      </w:r>
      <w:r>
        <w:rPr>
          <w:rFonts w:hint="eastAsia"/>
          <w:color w:val="auto"/>
          <w:highlight w:val="none"/>
          <w:lang w:eastAsia="zh-CN"/>
        </w:rPr>
        <w:t>湛江国际会展贸易中心</w:t>
      </w:r>
      <w:r>
        <w:rPr>
          <w:color w:val="auto"/>
          <w:highlight w:val="none"/>
        </w:rPr>
        <w:t>战略，把坡头区打造成为融湾融海的生态新城。</w:t>
      </w:r>
    </w:p>
    <w:p>
      <w:pPr>
        <w:pStyle w:val="4"/>
        <w:spacing w:before="62" w:after="62"/>
        <w:ind w:firstLine="0"/>
        <w:jc w:val="center"/>
        <w:rPr>
          <w:rFonts w:hint="default" w:ascii="宋体" w:hAnsi="宋体"/>
          <w:color w:val="auto"/>
          <w:highlight w:val="none"/>
        </w:rPr>
      </w:pPr>
      <w:bookmarkStart w:id="204" w:name="_Toc53003173"/>
      <w:bookmarkStart w:id="205" w:name="_Toc3661"/>
      <w:r>
        <w:rPr>
          <w:rFonts w:hint="default" w:ascii="宋体" w:hAnsi="宋体"/>
          <w:color w:val="auto"/>
          <w:highlight w:val="none"/>
        </w:rPr>
        <w:t>第一节 积极融入粤港澳大湾区</w:t>
      </w:r>
      <w:bookmarkEnd w:id="199"/>
      <w:bookmarkEnd w:id="200"/>
      <w:bookmarkEnd w:id="201"/>
      <w:bookmarkEnd w:id="202"/>
      <w:bookmarkEnd w:id="203"/>
      <w:bookmarkEnd w:id="204"/>
      <w:bookmarkEnd w:id="205"/>
    </w:p>
    <w:p>
      <w:pPr>
        <w:ind w:firstLine="640"/>
        <w:rPr>
          <w:color w:val="auto"/>
          <w:highlight w:val="none"/>
        </w:rPr>
      </w:pPr>
      <w:r>
        <w:rPr>
          <w:color w:val="auto"/>
          <w:highlight w:val="none"/>
        </w:rPr>
        <w:t>积极参与、对接和融入粤港澳大湾区一系列国家战略平台建设。支持坡头加快形成交通枢纽和商贸物流、医疗服务中心</w:t>
      </w:r>
      <w:r>
        <w:rPr>
          <w:rFonts w:hint="eastAsia"/>
          <w:color w:val="auto"/>
          <w:highlight w:val="none"/>
          <w:lang w:eastAsia="zh-CN"/>
        </w:rPr>
        <w:t>，</w:t>
      </w:r>
      <w:r>
        <w:rPr>
          <w:color w:val="auto"/>
          <w:highlight w:val="none"/>
        </w:rPr>
        <w:t>继续发挥坡头综合优势，打造湛江开放高地和开发开放枢纽。积极探索建立与粤港澳大湾区产业转移利益共享机制和产业融合发展机制，加强与大湾区的跨区域产业协作，积极吸引大湾区要素与坡头本地特色产业结合，主动承接大湾区外溢</w:t>
      </w:r>
      <w:r>
        <w:rPr>
          <w:rFonts w:hint="eastAsia"/>
          <w:color w:val="auto"/>
          <w:highlight w:val="none"/>
          <w:lang w:val="en-US" w:eastAsia="zh-CN"/>
        </w:rPr>
        <w:t>产业</w:t>
      </w:r>
      <w:r>
        <w:rPr>
          <w:color w:val="auto"/>
          <w:highlight w:val="none"/>
        </w:rPr>
        <w:t>转移，强化创新辐射带动和</w:t>
      </w:r>
      <w:r>
        <w:rPr>
          <w:rFonts w:hint="eastAsia"/>
          <w:color w:val="auto"/>
          <w:highlight w:val="none"/>
          <w:lang w:val="en-US" w:eastAsia="zh-CN"/>
        </w:rPr>
        <w:t>人才</w:t>
      </w:r>
      <w:r>
        <w:rPr>
          <w:color w:val="auto"/>
          <w:highlight w:val="none"/>
        </w:rPr>
        <w:t>交流，更加积极对接大湾区政策体系，推进与粤港澳大湾区市场一体化发展、深化与粤港澳大湾区产业共建，积极承接大湾区产业转移，探索采用</w:t>
      </w:r>
      <w:r>
        <w:rPr>
          <w:rFonts w:hint="eastAsia"/>
          <w:color w:val="auto"/>
          <w:highlight w:val="none"/>
        </w:rPr>
        <w:t>“</w:t>
      </w:r>
      <w:r>
        <w:rPr>
          <w:color w:val="auto"/>
          <w:highlight w:val="none"/>
        </w:rPr>
        <w:t>飞地经济</w:t>
      </w:r>
      <w:r>
        <w:rPr>
          <w:rFonts w:hint="eastAsia"/>
          <w:color w:val="auto"/>
          <w:highlight w:val="none"/>
        </w:rPr>
        <w:t>”</w:t>
      </w:r>
      <w:r>
        <w:rPr>
          <w:color w:val="auto"/>
          <w:highlight w:val="none"/>
        </w:rPr>
        <w:t>模式，形成与珠三角产业链分工协作、优势互补的新格局。探索推动广州、深圳与湛江深度协作，形成</w:t>
      </w:r>
      <w:r>
        <w:rPr>
          <w:rFonts w:hint="eastAsia"/>
          <w:color w:val="auto"/>
          <w:highlight w:val="none"/>
        </w:rPr>
        <w:t>“</w:t>
      </w:r>
      <w:r>
        <w:rPr>
          <w:color w:val="auto"/>
          <w:highlight w:val="none"/>
        </w:rPr>
        <w:t>双核+双副中心</w:t>
      </w:r>
      <w:r>
        <w:rPr>
          <w:rFonts w:hint="eastAsia"/>
          <w:color w:val="auto"/>
          <w:highlight w:val="none"/>
        </w:rPr>
        <w:t>”</w:t>
      </w:r>
      <w:r>
        <w:rPr>
          <w:color w:val="auto"/>
          <w:highlight w:val="none"/>
        </w:rPr>
        <w:t>协作机制。深化与粤港澳大湾区科技创新合作，加强与广州、深圳、珠海在海洋科技、海洋工程和海洋经济等领域的交流合作。发挥坡头农业、海洋渔业等优势，建设服务粤港澳大湾区的</w:t>
      </w:r>
      <w:r>
        <w:rPr>
          <w:rFonts w:hint="eastAsia"/>
          <w:color w:val="auto"/>
          <w:highlight w:val="none"/>
        </w:rPr>
        <w:t>“</w:t>
      </w:r>
      <w:r>
        <w:rPr>
          <w:color w:val="auto"/>
          <w:highlight w:val="none"/>
        </w:rPr>
        <w:t>菜篮子</w:t>
      </w:r>
      <w:r>
        <w:rPr>
          <w:rFonts w:hint="eastAsia"/>
          <w:color w:val="auto"/>
          <w:highlight w:val="none"/>
        </w:rPr>
        <w:t>”</w:t>
      </w:r>
      <w:r>
        <w:rPr>
          <w:color w:val="auto"/>
          <w:highlight w:val="none"/>
        </w:rPr>
        <w:t>。</w:t>
      </w:r>
    </w:p>
    <w:p>
      <w:pPr>
        <w:keepNext w:val="0"/>
        <w:keepLines w:val="0"/>
        <w:widowControl/>
        <w:suppressLineNumbers w:val="0"/>
        <w:jc w:val="left"/>
        <w:rPr>
          <w:rFonts w:ascii="Times New Roman" w:hAnsi="Times New Roman" w:eastAsia="仿宋" w:cs="Times New Roman"/>
          <w:color w:val="auto"/>
          <w:kern w:val="2"/>
          <w:sz w:val="32"/>
          <w:szCs w:val="22"/>
          <w:highlight w:val="none"/>
          <w:lang w:val="en-US" w:eastAsia="zh-CN" w:bidi="ar-SA"/>
        </w:rPr>
      </w:pPr>
      <w:r>
        <w:rPr>
          <w:rFonts w:hint="eastAsia" w:ascii="Times New Roman" w:hAnsi="Times New Roman" w:eastAsia="仿宋" w:cs="Times New Roman"/>
          <w:b/>
          <w:bCs/>
          <w:color w:val="auto"/>
          <w:kern w:val="2"/>
          <w:sz w:val="32"/>
          <w:szCs w:val="22"/>
          <w:highlight w:val="none"/>
          <w:lang w:val="en-US" w:eastAsia="zh-CN" w:bidi="ar-SA"/>
        </w:rPr>
        <w:t>加强与广州深度协作。</w:t>
      </w:r>
      <w:r>
        <w:rPr>
          <w:rFonts w:hint="eastAsia" w:ascii="Times New Roman" w:hAnsi="Times New Roman" w:eastAsia="仿宋" w:cs="Times New Roman"/>
          <w:color w:val="auto"/>
          <w:kern w:val="2"/>
          <w:sz w:val="32"/>
          <w:szCs w:val="22"/>
          <w:highlight w:val="none"/>
          <w:lang w:val="en-US" w:eastAsia="zh-CN" w:bidi="ar-SA"/>
        </w:rPr>
        <w:t>继续完善与黄埔区共建合作机制。发挥广州跨境电商综合试验区规模发展、创新发展的优势，探索推进两地跨境电子商务合作，促进两地跨境电商产业链和生态链紧密融合。</w:t>
      </w:r>
      <w:r>
        <w:rPr>
          <w:rFonts w:hint="eastAsia" w:cs="Times New Roman"/>
          <w:color w:val="auto"/>
          <w:kern w:val="2"/>
          <w:sz w:val="32"/>
          <w:szCs w:val="22"/>
          <w:highlight w:val="none"/>
          <w:lang w:val="en-US" w:eastAsia="zh-CN" w:bidi="ar-SA"/>
        </w:rPr>
        <w:t>依托湛江湾实验室和广东医科大学创新平台，借助</w:t>
      </w:r>
      <w:r>
        <w:rPr>
          <w:rFonts w:hint="eastAsia" w:ascii="Times New Roman" w:hAnsi="Times New Roman" w:eastAsia="仿宋" w:cs="Times New Roman"/>
          <w:color w:val="auto"/>
          <w:kern w:val="2"/>
          <w:sz w:val="32"/>
          <w:szCs w:val="22"/>
          <w:highlight w:val="none"/>
          <w:lang w:val="en-US" w:eastAsia="zh-CN" w:bidi="ar-SA"/>
        </w:rPr>
        <w:t>广州城市高校、科研院所创新资源优势，针对</w:t>
      </w:r>
      <w:r>
        <w:rPr>
          <w:rFonts w:ascii="仿宋" w:hAnsi="仿宋" w:eastAsia="仿宋" w:cs="仿宋"/>
          <w:color w:val="auto"/>
          <w:kern w:val="0"/>
          <w:sz w:val="31"/>
          <w:szCs w:val="31"/>
          <w:highlight w:val="none"/>
          <w:lang w:val="en-US" w:eastAsia="zh-CN" w:bidi="ar"/>
        </w:rPr>
        <w:t>电子信息、</w:t>
      </w:r>
      <w:r>
        <w:rPr>
          <w:rFonts w:hint="eastAsia" w:ascii="仿宋" w:hAnsi="仿宋" w:eastAsia="仿宋" w:cs="仿宋"/>
          <w:color w:val="auto"/>
          <w:kern w:val="0"/>
          <w:sz w:val="31"/>
          <w:szCs w:val="31"/>
          <w:highlight w:val="none"/>
          <w:lang w:val="en-US" w:eastAsia="zh-CN" w:bidi="ar"/>
        </w:rPr>
        <w:t>生物医药、海洋战略新兴</w:t>
      </w:r>
      <w:r>
        <w:rPr>
          <w:rFonts w:hint="eastAsia" w:ascii="Times New Roman" w:hAnsi="Times New Roman" w:eastAsia="仿宋" w:cs="Times New Roman"/>
          <w:color w:val="auto"/>
          <w:kern w:val="2"/>
          <w:sz w:val="32"/>
          <w:szCs w:val="22"/>
          <w:highlight w:val="none"/>
          <w:lang w:val="en-US" w:eastAsia="zh-CN" w:bidi="ar-SA"/>
        </w:rPr>
        <w:t>产业发展需求，加强技术、人才、项目合作。支持两地金融机构互设分支机构和拓展业务，实现金融资源互补，开展特色金融合作</w:t>
      </w:r>
      <w:r>
        <w:rPr>
          <w:rFonts w:hint="eastAsia" w:cs="Times New Roman"/>
          <w:color w:val="auto"/>
          <w:kern w:val="2"/>
          <w:sz w:val="32"/>
          <w:szCs w:val="22"/>
          <w:highlight w:val="none"/>
          <w:lang w:val="en-US" w:eastAsia="zh-CN" w:bidi="ar-SA"/>
        </w:rPr>
        <w:t>。</w:t>
      </w:r>
    </w:p>
    <w:p>
      <w:pPr>
        <w:pStyle w:val="4"/>
        <w:spacing w:before="62" w:after="62"/>
        <w:ind w:firstLine="0"/>
        <w:jc w:val="center"/>
        <w:rPr>
          <w:rFonts w:hint="default" w:ascii="宋体" w:hAnsi="宋体"/>
          <w:color w:val="auto"/>
          <w:highlight w:val="none"/>
        </w:rPr>
      </w:pPr>
      <w:bookmarkStart w:id="206" w:name="_Toc32331"/>
      <w:bookmarkStart w:id="207" w:name="_Toc1302"/>
      <w:bookmarkStart w:id="208" w:name="_Toc20209"/>
      <w:bookmarkStart w:id="209" w:name="_Toc23319"/>
      <w:bookmarkStart w:id="210" w:name="_Toc16574"/>
      <w:bookmarkStart w:id="211" w:name="_Toc31177"/>
      <w:bookmarkStart w:id="212" w:name="_Toc53003174"/>
      <w:r>
        <w:rPr>
          <w:rFonts w:hint="default" w:ascii="宋体" w:hAnsi="宋体"/>
          <w:color w:val="auto"/>
          <w:highlight w:val="none"/>
        </w:rPr>
        <w:t>第二节 全力对接海南自贸港</w:t>
      </w:r>
      <w:bookmarkEnd w:id="206"/>
      <w:bookmarkEnd w:id="207"/>
      <w:bookmarkEnd w:id="208"/>
      <w:bookmarkEnd w:id="209"/>
      <w:bookmarkEnd w:id="210"/>
      <w:r>
        <w:rPr>
          <w:rFonts w:hint="default" w:ascii="宋体" w:hAnsi="宋体"/>
          <w:color w:val="auto"/>
          <w:highlight w:val="none"/>
        </w:rPr>
        <w:t>建设</w:t>
      </w:r>
      <w:bookmarkEnd w:id="211"/>
      <w:bookmarkEnd w:id="212"/>
    </w:p>
    <w:p>
      <w:pPr>
        <w:ind w:firstLine="640"/>
        <w:rPr>
          <w:color w:val="auto"/>
          <w:highlight w:val="none"/>
        </w:rPr>
      </w:pPr>
      <w:r>
        <w:rPr>
          <w:color w:val="auto"/>
          <w:highlight w:val="none"/>
        </w:rPr>
        <w:t>加强与海南自贸区（港）对接合作、相向而行，主动做好与海南的衔接。</w:t>
      </w:r>
      <w:r>
        <w:rPr>
          <w:rFonts w:hint="eastAsia"/>
          <w:color w:val="auto"/>
          <w:highlight w:val="none"/>
        </w:rPr>
        <w:t>推动全域旅游着力打造对接海南滨海旅游的桥头堡，</w:t>
      </w:r>
      <w:r>
        <w:rPr>
          <w:rFonts w:hint="eastAsia"/>
          <w:color w:val="auto"/>
          <w:highlight w:val="none"/>
          <w:lang w:val="en-US" w:eastAsia="zh-CN"/>
        </w:rPr>
        <w:t>促进</w:t>
      </w:r>
      <w:r>
        <w:rPr>
          <w:rFonts w:hint="eastAsia"/>
          <w:color w:val="auto"/>
          <w:highlight w:val="none"/>
        </w:rPr>
        <w:t>区域旅游一体化，实现融合发展</w:t>
      </w:r>
      <w:r>
        <w:rPr>
          <w:color w:val="auto"/>
          <w:highlight w:val="none"/>
        </w:rPr>
        <w:t>。</w:t>
      </w:r>
      <w:r>
        <w:rPr>
          <w:rFonts w:hint="eastAsia"/>
          <w:color w:val="auto"/>
          <w:highlight w:val="none"/>
        </w:rPr>
        <w:t>打造高端邮轮旅游线路，把海东建成对接“海南游”的始发站、桥头堡和聚散地。</w:t>
      </w:r>
      <w:r>
        <w:rPr>
          <w:rFonts w:hint="eastAsia"/>
          <w:color w:val="auto"/>
          <w:highlight w:val="none"/>
          <w:lang w:val="en-US" w:eastAsia="zh-CN"/>
        </w:rPr>
        <w:t>加快推进</w:t>
      </w:r>
      <w:r>
        <w:rPr>
          <w:rFonts w:hint="eastAsia"/>
          <w:color w:val="auto"/>
          <w:highlight w:val="none"/>
        </w:rPr>
        <w:t>龙王湾海洋湿地公园建设，支持围绕湿地公园的游艇</w:t>
      </w:r>
      <w:r>
        <w:rPr>
          <w:rFonts w:hint="eastAsia"/>
          <w:color w:val="auto"/>
          <w:highlight w:val="none"/>
          <w:lang w:val="en-US" w:eastAsia="zh-CN"/>
        </w:rPr>
        <w:t>基地</w:t>
      </w:r>
      <w:r>
        <w:rPr>
          <w:rFonts w:hint="eastAsia"/>
          <w:color w:val="auto"/>
          <w:highlight w:val="none"/>
        </w:rPr>
        <w:t>建设，把龙王湾海洋湿地公园打造成集休闲、科普、运动为一体的旅游产业链</w:t>
      </w:r>
      <w:r>
        <w:rPr>
          <w:rFonts w:hint="eastAsia"/>
          <w:color w:val="auto"/>
          <w:highlight w:val="none"/>
          <w:lang w:eastAsia="zh-CN"/>
        </w:rPr>
        <w:t>，</w:t>
      </w:r>
      <w:r>
        <w:rPr>
          <w:color w:val="auto"/>
          <w:highlight w:val="none"/>
        </w:rPr>
        <w:t>与海南携手打造面向国际的热带旅游目的地</w:t>
      </w:r>
      <w:r>
        <w:rPr>
          <w:rFonts w:hint="eastAsia"/>
          <w:color w:val="auto"/>
          <w:highlight w:val="none"/>
          <w:lang w:eastAsia="zh-CN"/>
        </w:rPr>
        <w:t>。</w:t>
      </w:r>
      <w:r>
        <w:rPr>
          <w:color w:val="auto"/>
          <w:highlight w:val="none"/>
        </w:rPr>
        <w:t>加强与海南产业协作，坚持错位发展临港加工制造和转口贸易等产业，积极对接海南现代服务业发展，推动琼州海峡经济带建设。深化与海南港口的战略合作，加快推进琼州海峡港航一体化发展。强化与海南自贸区（港）的交通联接作为重要支撑，构建陆海空现代化立体交通枢纽，为现代产业和城市发展创造优越交通条件，加强与海南自贸区（港）对接，共建海洋科技合作区。积极对接海南现代服务业，推动建设琼州海峡经济带。</w:t>
      </w:r>
    </w:p>
    <w:p>
      <w:pPr>
        <w:pStyle w:val="4"/>
        <w:spacing w:before="62" w:after="62"/>
        <w:ind w:firstLine="0"/>
        <w:jc w:val="center"/>
        <w:rPr>
          <w:rFonts w:hint="default" w:ascii="宋体" w:hAnsi="宋体"/>
          <w:color w:val="auto"/>
          <w:highlight w:val="none"/>
        </w:rPr>
      </w:pPr>
      <w:bookmarkStart w:id="213" w:name="_Toc2856"/>
      <w:bookmarkStart w:id="214" w:name="_Toc23645"/>
      <w:bookmarkStart w:id="215" w:name="_Toc25146"/>
      <w:bookmarkStart w:id="216" w:name="_Toc16406"/>
      <w:bookmarkStart w:id="217" w:name="_Toc25979"/>
      <w:bookmarkStart w:id="218" w:name="_Toc53003175"/>
      <w:bookmarkStart w:id="219" w:name="_Toc13938"/>
      <w:r>
        <w:rPr>
          <w:rFonts w:hint="default" w:ascii="宋体" w:hAnsi="宋体"/>
          <w:color w:val="auto"/>
          <w:highlight w:val="none"/>
        </w:rPr>
        <w:t>第三节 紧密连接北部湾城市群</w:t>
      </w:r>
      <w:bookmarkEnd w:id="213"/>
      <w:bookmarkEnd w:id="214"/>
      <w:bookmarkEnd w:id="215"/>
      <w:bookmarkEnd w:id="216"/>
      <w:bookmarkEnd w:id="217"/>
      <w:bookmarkEnd w:id="218"/>
      <w:bookmarkEnd w:id="219"/>
    </w:p>
    <w:p>
      <w:pPr>
        <w:ind w:firstLine="640"/>
        <w:rPr>
          <w:color w:val="auto"/>
          <w:highlight w:val="none"/>
        </w:rPr>
      </w:pPr>
      <w:r>
        <w:rPr>
          <w:color w:val="auto"/>
          <w:highlight w:val="none"/>
        </w:rPr>
        <w:t>联动广西北部湾等周边地区，推动更好地优化资源配置，把强化与北部湾城市群的交通联接作为重要支撑，利用北部湾经济区国家战略交汇处的地缘优势，完全发挥区域发展</w:t>
      </w:r>
      <w:r>
        <w:rPr>
          <w:rFonts w:hint="eastAsia"/>
          <w:color w:val="auto"/>
          <w:highlight w:val="none"/>
        </w:rPr>
        <w:t>“</w:t>
      </w:r>
      <w:r>
        <w:rPr>
          <w:color w:val="auto"/>
          <w:highlight w:val="none"/>
        </w:rPr>
        <w:t>紧密联系人</w:t>
      </w:r>
      <w:r>
        <w:rPr>
          <w:rFonts w:hint="eastAsia"/>
          <w:color w:val="auto"/>
          <w:highlight w:val="none"/>
        </w:rPr>
        <w:t>”</w:t>
      </w:r>
      <w:r>
        <w:rPr>
          <w:color w:val="auto"/>
          <w:highlight w:val="none"/>
        </w:rPr>
        <w:t>的作用，推动形成</w:t>
      </w:r>
      <w:r>
        <w:rPr>
          <w:rFonts w:hint="eastAsia"/>
          <w:color w:val="auto"/>
          <w:highlight w:val="none"/>
        </w:rPr>
        <w:t>“</w:t>
      </w:r>
      <w:r>
        <w:rPr>
          <w:color w:val="auto"/>
          <w:highlight w:val="none"/>
        </w:rPr>
        <w:t>陆海内外联动、东西双向互济</w:t>
      </w:r>
      <w:r>
        <w:rPr>
          <w:rFonts w:hint="eastAsia"/>
          <w:color w:val="auto"/>
          <w:highlight w:val="none"/>
        </w:rPr>
        <w:t>”</w:t>
      </w:r>
      <w:r>
        <w:rPr>
          <w:color w:val="auto"/>
          <w:highlight w:val="none"/>
        </w:rPr>
        <w:t>的开放格局，积极融入北部湾城市群一体化建设，打造成为促进区域经济协调发展的重要纽带。加强与北部湾经济圈合作，把握北部湾城市群发展规划建设全面实施的契机，发挥坡头地缘优势，积极争取两省（区）叠加优惠政策，吸引两省（区）之间资源、资金、人力等要素向坡头汇聚。加强与北部湾城市群在经贸、教育、文化、体育等领域交流，主动与广西加强对接，规划各项基础设施建设，打造与北部湾城市群合作新平台。</w:t>
      </w: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ind w:firstLine="721"/>
        <w:rPr>
          <w:color w:val="auto"/>
          <w:highlight w:val="none"/>
        </w:rPr>
      </w:pPr>
      <w:bookmarkStart w:id="220" w:name="_Toc7259"/>
      <w:bookmarkStart w:id="221" w:name="_Toc32341"/>
      <w:bookmarkStart w:id="222" w:name="_Toc8997"/>
      <w:bookmarkStart w:id="223" w:name="_Toc53003177"/>
      <w:bookmarkStart w:id="224" w:name="_Toc7128"/>
      <w:bookmarkStart w:id="225" w:name="_Toc2717"/>
      <w:bookmarkStart w:id="226" w:name="_Toc26502"/>
      <w:r>
        <w:rPr>
          <w:color w:val="auto"/>
          <w:highlight w:val="none"/>
        </w:rPr>
        <w:t>第</w:t>
      </w:r>
      <w:r>
        <w:rPr>
          <w:rFonts w:hint="eastAsia"/>
          <w:color w:val="auto"/>
          <w:highlight w:val="none"/>
          <w:lang w:val="en-US" w:eastAsia="zh-CN"/>
        </w:rPr>
        <w:t>九</w:t>
      </w:r>
      <w:r>
        <w:rPr>
          <w:color w:val="auto"/>
          <w:highlight w:val="none"/>
        </w:rPr>
        <w:t xml:space="preserve">章  </w:t>
      </w:r>
      <w:bookmarkEnd w:id="220"/>
      <w:bookmarkEnd w:id="221"/>
      <w:bookmarkEnd w:id="222"/>
      <w:bookmarkEnd w:id="223"/>
      <w:bookmarkEnd w:id="224"/>
      <w:bookmarkEnd w:id="225"/>
      <w:r>
        <w:rPr>
          <w:rFonts w:hint="eastAsia"/>
          <w:color w:val="auto"/>
          <w:highlight w:val="none"/>
        </w:rPr>
        <w:t>增创开放优势 开启改革开放新格局</w:t>
      </w:r>
      <w:bookmarkEnd w:id="226"/>
    </w:p>
    <w:p>
      <w:pPr>
        <w:bidi w:val="0"/>
        <w:rPr>
          <w:rFonts w:hint="default"/>
          <w:color w:val="auto"/>
          <w:highlight w:val="none"/>
        </w:rPr>
      </w:pPr>
      <w:bookmarkStart w:id="227" w:name="_Toc53003178"/>
      <w:bookmarkStart w:id="228" w:name="_Toc25204"/>
      <w:bookmarkStart w:id="229" w:name="_Toc29366"/>
      <w:bookmarkStart w:id="230" w:name="_Toc8030"/>
      <w:bookmarkStart w:id="231" w:name="_Toc18837"/>
      <w:bookmarkStart w:id="232" w:name="_Toc28364"/>
      <w:r>
        <w:rPr>
          <w:rFonts w:hint="eastAsia"/>
          <w:b w:val="0"/>
          <w:bCs w:val="0"/>
          <w:color w:val="auto"/>
          <w:highlight w:val="none"/>
        </w:rPr>
        <w:t>坚持激发市场活力和加强市场监管相结合，加大简政放权、放管结合力度，</w:t>
      </w:r>
      <w:r>
        <w:rPr>
          <w:rFonts w:hint="eastAsia"/>
          <w:color w:val="auto"/>
          <w:highlight w:val="none"/>
          <w:lang w:val="en-US" w:eastAsia="zh-CN"/>
        </w:rPr>
        <w:t>营造优良营商环境。</w:t>
      </w:r>
      <w:r>
        <w:rPr>
          <w:rFonts w:hint="eastAsia"/>
          <w:b w:val="0"/>
          <w:bCs w:val="0"/>
          <w:color w:val="auto"/>
          <w:highlight w:val="none"/>
        </w:rPr>
        <w:t>深化重点领域和关键环节改革，推动建立符合社会主义市场经济规律、适应现代治理体系要求的政府服务管理模式。</w:t>
      </w:r>
    </w:p>
    <w:p>
      <w:pPr>
        <w:pStyle w:val="4"/>
        <w:spacing w:before="62" w:after="62"/>
        <w:ind w:firstLine="0"/>
        <w:jc w:val="center"/>
        <w:rPr>
          <w:rFonts w:hint="default" w:ascii="宋体" w:hAnsi="宋体"/>
          <w:color w:val="auto"/>
          <w:highlight w:val="none"/>
        </w:rPr>
      </w:pPr>
      <w:bookmarkStart w:id="233" w:name="_Toc15663"/>
      <w:r>
        <w:rPr>
          <w:rFonts w:hint="default" w:ascii="宋体" w:hAnsi="宋体"/>
          <w:color w:val="auto"/>
          <w:highlight w:val="none"/>
        </w:rPr>
        <w:t xml:space="preserve">第一节 </w:t>
      </w:r>
      <w:bookmarkEnd w:id="227"/>
      <w:bookmarkEnd w:id="228"/>
      <w:bookmarkEnd w:id="229"/>
      <w:bookmarkEnd w:id="230"/>
      <w:bookmarkEnd w:id="231"/>
      <w:bookmarkEnd w:id="232"/>
      <w:r>
        <w:rPr>
          <w:rFonts w:hint="eastAsia" w:ascii="宋体" w:hAnsi="宋体"/>
          <w:color w:val="auto"/>
          <w:highlight w:val="none"/>
          <w:lang w:val="en-US" w:eastAsia="zh-CN"/>
        </w:rPr>
        <w:t>打造优质</w:t>
      </w:r>
      <w:r>
        <w:rPr>
          <w:rFonts w:hint="default" w:ascii="宋体" w:hAnsi="宋体"/>
          <w:color w:val="auto"/>
          <w:highlight w:val="none"/>
        </w:rPr>
        <w:t>营商环境</w:t>
      </w:r>
      <w:bookmarkEnd w:id="233"/>
    </w:p>
    <w:p>
      <w:pPr>
        <w:ind w:firstLine="640"/>
        <w:rPr>
          <w:rFonts w:hint="eastAsia"/>
          <w:color w:val="auto"/>
          <w:highlight w:val="none"/>
        </w:rPr>
      </w:pPr>
      <w:r>
        <w:rPr>
          <w:rFonts w:hint="eastAsia"/>
          <w:b/>
          <w:bCs/>
          <w:color w:val="auto"/>
          <w:highlight w:val="none"/>
          <w:lang w:val="en-US" w:eastAsia="zh-CN"/>
        </w:rPr>
        <w:t>聚力</w:t>
      </w:r>
      <w:r>
        <w:rPr>
          <w:rFonts w:hint="eastAsia"/>
          <w:b/>
          <w:bCs/>
          <w:color w:val="auto"/>
          <w:highlight w:val="none"/>
        </w:rPr>
        <w:t>优化营商环境。</w:t>
      </w:r>
      <w:r>
        <w:rPr>
          <w:rFonts w:hint="eastAsia"/>
          <w:color w:val="auto"/>
          <w:highlight w:val="none"/>
          <w:lang w:eastAsia="zh-CN"/>
        </w:rPr>
        <w:t>持续深化商事制度改革，营造宽松便捷的市场准入环境。</w:t>
      </w:r>
      <w:r>
        <w:rPr>
          <w:rFonts w:hint="eastAsia"/>
          <w:color w:val="auto"/>
          <w:highlight w:val="none"/>
        </w:rPr>
        <w:t>深化“放管服”改革，进一步放开民营企业市场准入，在项目核准备案、享受惠企政策等方面落实平等待遇，打破“卷帘门”“玻璃门”“旋转门”，优化公平竞争的市场环境。推进“互联网+政务服务”，将人工智能、大数据等高新技术广泛应用于政务服务各流程、各领域，打造全流程、精准化的服务模式，提升政务服务质量和效率。实施涉企经营许可事项清单管理，加强事中事后监管，对新产业新业态实行包容审慎监管。健全重大政策事前评估和事后评价制度，畅通参与政策制定的渠道，提高决策科学化、民主化、法治化水平。推动政府数字化转型提质增效，实现“一网通办”“一网统管”“一网协同”。对标世界银行和国家营商环境评价指标体系，深化营商环境综合改革，持续优化市场化</w:t>
      </w:r>
      <w:r>
        <w:rPr>
          <w:rFonts w:hint="eastAsia"/>
          <w:color w:val="auto"/>
          <w:highlight w:val="none"/>
          <w:lang w:eastAsia="zh-CN"/>
        </w:rPr>
        <w:t>、</w:t>
      </w:r>
      <w:r>
        <w:rPr>
          <w:rFonts w:hint="eastAsia"/>
          <w:color w:val="auto"/>
          <w:highlight w:val="none"/>
        </w:rPr>
        <w:t>法治化</w:t>
      </w:r>
      <w:r>
        <w:rPr>
          <w:rFonts w:hint="eastAsia"/>
          <w:color w:val="auto"/>
          <w:highlight w:val="none"/>
          <w:lang w:eastAsia="zh-CN"/>
        </w:rPr>
        <w:t>、</w:t>
      </w:r>
      <w:r>
        <w:rPr>
          <w:rFonts w:hint="eastAsia"/>
          <w:color w:val="auto"/>
          <w:highlight w:val="none"/>
        </w:rPr>
        <w:t>国际化营商环境。</w:t>
      </w:r>
    </w:p>
    <w:p>
      <w:pPr>
        <w:bidi w:val="0"/>
        <w:rPr>
          <w:rFonts w:hint="eastAsia"/>
          <w:color w:val="auto"/>
          <w:highlight w:val="none"/>
          <w:lang w:val="en-US" w:eastAsia="zh-CN"/>
        </w:rPr>
      </w:pPr>
      <w:r>
        <w:rPr>
          <w:rFonts w:hint="eastAsia"/>
          <w:b/>
          <w:bCs/>
          <w:color w:val="auto"/>
          <w:highlight w:val="none"/>
          <w:lang w:val="en-US" w:eastAsia="zh-CN"/>
        </w:rPr>
        <w:t>加大招商力度促进有效投资。</w:t>
      </w:r>
      <w:r>
        <w:rPr>
          <w:rFonts w:hint="eastAsia"/>
          <w:color w:val="auto"/>
          <w:highlight w:val="none"/>
          <w:lang w:val="en-US" w:eastAsia="zh-CN"/>
        </w:rPr>
        <w:t>围绕全区产业发展格局，加大对高新技术产业、先进制造业等战略性新兴产业招商引资力度，建立产业链核心企业库，瞄准</w:t>
      </w:r>
      <w:r>
        <w:rPr>
          <w:rFonts w:hint="eastAsia" w:ascii="Times New Roman" w:hAnsi="Times New Roman"/>
          <w:color w:val="auto"/>
          <w:highlight w:val="none"/>
          <w:lang w:val="en-US" w:eastAsia="zh-CN"/>
        </w:rPr>
        <w:t>500</w:t>
      </w:r>
      <w:r>
        <w:rPr>
          <w:rFonts w:hint="eastAsia"/>
          <w:color w:val="auto"/>
          <w:highlight w:val="none"/>
          <w:lang w:val="en-US" w:eastAsia="zh-CN"/>
        </w:rPr>
        <w:t>强、国内行业领军企业、大型央企、上市公司、知名民企以及“独角兽”公司，推动资源招商、园区招商和精准招商，推进延链补链强链招商。建立健全招商引资责任制，建立项目遴选机制，强化项目预审，合同约束，从产业层次、亩均税收、环保标准、用工需求、安全管控等方面，严把项目落地审核关，招优选强，提高招商引资的质量和水平，跟踪推动签约项目落地建设。加强招商政务服务体系建设，完善扶持重点产业发展政策措施，不断提升招商引资实效和质量。抓好新一轮基础设施补短板“窗口期”，争取省域副中心城市重大基础设施、重大产业、重大区域发展平台和创新平台建设，争取一批高新区基础设施建设纳入国家、省重点项目的大盘子，积极争取市财政支持坡头城区市政建设。建立健全投资体系。用足用好转移支付资金及地方政府债券资金，加强新投公司等融资平台建设，强化项目建设资金保障。设立园区基础设施投融资平台，发挥区国有企业对园区开发建设的融资担保作用，以土地使用权、基础设施项目所有权和经营权为条件，引导社会资本对园区基础设施项目跟投跟贷、联合投资。</w:t>
      </w:r>
    </w:p>
    <w:p>
      <w:pPr>
        <w:bidi w:val="0"/>
        <w:rPr>
          <w:rFonts w:hint="default"/>
          <w:color w:val="auto"/>
          <w:highlight w:val="none"/>
          <w:lang w:val="en-US" w:eastAsia="zh-CN"/>
        </w:rPr>
      </w:pPr>
      <w:r>
        <w:rPr>
          <w:rFonts w:hint="eastAsia"/>
          <w:b/>
          <w:bCs/>
          <w:color w:val="auto"/>
          <w:highlight w:val="none"/>
          <w:lang w:val="en-US" w:eastAsia="zh-CN"/>
        </w:rPr>
        <w:t>做优做强国有企业。</w:t>
      </w:r>
      <w:r>
        <w:rPr>
          <w:rFonts w:hint="eastAsia"/>
          <w:color w:val="auto"/>
          <w:highlight w:val="none"/>
          <w:lang w:val="en-US" w:eastAsia="zh-CN"/>
        </w:rPr>
        <w:t>以提高国有资本效率、增强国有企业活力为核心，以国资改革带动国企改革为抓手，清理区属国有“僵尸”企业历史遗留问题，做强做优做大国有资本和国有企业。深入推进国资国企改革，推动形成与区域经济社会发展相适应的国资布局，提高国有经济对区域经济社会发展的贡献度，切实增强国有经济的活力、竞争力、影响力和抗风险能力。强化新投公司章程管理、规范董事会运作，激发新区投资公司发展潜力。推进国有资产监管机构职能转变，推动行政化管理向法治化、市场化监管转变，减少出资人审批核准事项。加大国资国企布局的战略性调整，推动国有资本更多投向区域重大项目、高端服务业、民生保障等区域经济社会发展的关键领域。建立重点项目投资计划和政府投资计划管理机制，建立支持民间投资政策体系，探索推进“政府推动、企业运营、市场运作、多元管理”的开发模式。</w:t>
      </w:r>
    </w:p>
    <w:p>
      <w:pPr>
        <w:ind w:firstLine="640"/>
        <w:rPr>
          <w:color w:val="auto"/>
          <w:highlight w:val="none"/>
        </w:rPr>
      </w:pPr>
      <w:r>
        <w:rPr>
          <w:rFonts w:hint="eastAsia"/>
          <w:b/>
          <w:bCs/>
          <w:color w:val="auto"/>
          <w:highlight w:val="none"/>
        </w:rPr>
        <w:t>大力推动</w:t>
      </w:r>
      <w:r>
        <w:rPr>
          <w:rFonts w:hint="eastAsia"/>
          <w:b/>
          <w:bCs/>
          <w:color w:val="auto"/>
          <w:highlight w:val="none"/>
          <w:lang w:val="en-US" w:eastAsia="zh-CN"/>
        </w:rPr>
        <w:t>民营</w:t>
      </w:r>
      <w:r>
        <w:rPr>
          <w:rFonts w:hint="eastAsia"/>
          <w:b/>
          <w:bCs/>
          <w:color w:val="auto"/>
          <w:highlight w:val="none"/>
        </w:rPr>
        <w:t>经济发展。</w:t>
      </w:r>
      <w:r>
        <w:rPr>
          <w:rFonts w:hint="eastAsia"/>
          <w:color w:val="auto"/>
          <w:highlight w:val="none"/>
        </w:rPr>
        <w:t>加大</w:t>
      </w:r>
      <w:r>
        <w:rPr>
          <w:rFonts w:hint="eastAsia"/>
          <w:color w:val="auto"/>
          <w:highlight w:val="none"/>
          <w:lang w:val="en-US" w:eastAsia="zh-CN"/>
        </w:rPr>
        <w:t>民营</w:t>
      </w:r>
      <w:r>
        <w:rPr>
          <w:rFonts w:hint="eastAsia"/>
          <w:color w:val="auto"/>
          <w:highlight w:val="none"/>
        </w:rPr>
        <w:t>经济支持力度，以市场准入和公平待遇为重点，着力优化非公经济发展环境，积极消除非公经济在准入资质、融资、政策享受等方面的隐性壁垒，确立平等的市场主体地位。完善中小企业公共服务体系。充分发挥市场机制和政府扶持作用，聚焦民营、无主管部门中小企业发展，聚焦“专精特新”中小企业的培育，聚焦初创型、小型、微型企业的生存，全面优化中小企业发展环境</w:t>
      </w:r>
      <w:r>
        <w:rPr>
          <w:color w:val="auto"/>
          <w:highlight w:val="none"/>
        </w:rPr>
        <w:t>。</w:t>
      </w:r>
      <w:r>
        <w:rPr>
          <w:rFonts w:hint="eastAsia"/>
          <w:color w:val="auto"/>
          <w:highlight w:val="none"/>
        </w:rPr>
        <w:t>深入开展暖企挂点服务，加快资本市场建设。</w:t>
      </w:r>
    </w:p>
    <w:p>
      <w:pPr>
        <w:pStyle w:val="4"/>
        <w:spacing w:before="62" w:after="62"/>
        <w:ind w:firstLine="0"/>
        <w:jc w:val="center"/>
        <w:rPr>
          <w:rFonts w:hint="eastAsia" w:ascii="宋体" w:hAnsi="宋体"/>
          <w:color w:val="auto"/>
          <w:highlight w:val="none"/>
        </w:rPr>
      </w:pPr>
      <w:bookmarkStart w:id="234" w:name="_Toc53003179"/>
      <w:bookmarkStart w:id="235" w:name="_Toc18094"/>
      <w:bookmarkStart w:id="236" w:name="_Toc12053"/>
      <w:bookmarkStart w:id="237" w:name="_Toc29770"/>
      <w:bookmarkStart w:id="238" w:name="_Toc1194"/>
      <w:bookmarkStart w:id="239" w:name="_Toc6762"/>
      <w:bookmarkStart w:id="240" w:name="_Toc26455"/>
      <w:r>
        <w:rPr>
          <w:rFonts w:hint="default" w:ascii="宋体" w:hAnsi="宋体"/>
          <w:color w:val="auto"/>
          <w:highlight w:val="none"/>
        </w:rPr>
        <w:t xml:space="preserve">第二节 </w:t>
      </w:r>
      <w:bookmarkEnd w:id="234"/>
      <w:bookmarkEnd w:id="235"/>
      <w:bookmarkEnd w:id="236"/>
      <w:bookmarkEnd w:id="237"/>
      <w:bookmarkEnd w:id="238"/>
      <w:bookmarkEnd w:id="239"/>
      <w:r>
        <w:rPr>
          <w:rFonts w:hint="default" w:ascii="宋体" w:hAnsi="宋体"/>
          <w:color w:val="auto"/>
          <w:highlight w:val="none"/>
        </w:rPr>
        <w:t>创新政府服务模式</w:t>
      </w:r>
      <w:bookmarkEnd w:id="240"/>
    </w:p>
    <w:p>
      <w:pPr>
        <w:rPr>
          <w:rFonts w:hint="eastAsia"/>
          <w:b w:val="0"/>
          <w:bCs w:val="0"/>
          <w:color w:val="auto"/>
          <w:highlight w:val="none"/>
        </w:rPr>
      </w:pPr>
      <w:r>
        <w:rPr>
          <w:rFonts w:hint="eastAsia"/>
          <w:b/>
          <w:bCs/>
          <w:color w:val="auto"/>
          <w:highlight w:val="none"/>
        </w:rPr>
        <w:t>深化清单管理模式。</w:t>
      </w:r>
      <w:r>
        <w:rPr>
          <w:rFonts w:hint="eastAsia"/>
          <w:b w:val="0"/>
          <w:bCs w:val="0"/>
          <w:color w:val="auto"/>
          <w:highlight w:val="none"/>
        </w:rPr>
        <w:t>全面实施权力清单、责任清单、服务清单和效能清单，不断完善清单内容和业务手册。加强行政权力标准化管理，细化量化做出权力决定的条件、标准、范围、程序、环节、事后监督措施等，规范裁量范围、种类、幅度。制定实施行政协助事项清单，建立部门协同配合机制，构建闭合的正反馈系统。建立清单管理绩效评估系统，加强效能监察，进一步提高行政效率和公共服务能力。</w:t>
      </w:r>
    </w:p>
    <w:p>
      <w:pPr>
        <w:rPr>
          <w:color w:val="auto"/>
          <w:highlight w:val="none"/>
        </w:rPr>
      </w:pPr>
      <w:r>
        <w:rPr>
          <w:rFonts w:hint="eastAsia"/>
          <w:b/>
          <w:bCs/>
          <w:color w:val="auto"/>
          <w:highlight w:val="none"/>
        </w:rPr>
        <w:t>加强行政审批制度改革。</w:t>
      </w:r>
      <w:r>
        <w:rPr>
          <w:rFonts w:hint="eastAsia"/>
          <w:b w:val="0"/>
          <w:bCs w:val="0"/>
          <w:color w:val="auto"/>
          <w:highlight w:val="none"/>
        </w:rPr>
        <w:t>动态调整《坡头区行政审批目录》，对行政审批事项实行目录化、标准化管理，加强业务手册和办事指南执行情况的实时监督检查。</w:t>
      </w:r>
      <w:r>
        <w:rPr>
          <w:rFonts w:hint="eastAsia"/>
          <w:b w:val="0"/>
          <w:bCs w:val="0"/>
          <w:color w:val="auto"/>
          <w:highlight w:val="none"/>
          <w:lang w:val="en-US" w:eastAsia="zh-CN"/>
        </w:rPr>
        <w:t>完善</w:t>
      </w:r>
      <w:r>
        <w:rPr>
          <w:rFonts w:hint="eastAsia"/>
          <w:b w:val="0"/>
          <w:bCs w:val="0"/>
          <w:color w:val="auto"/>
          <w:highlight w:val="none"/>
        </w:rPr>
        <w:t>网上政务大厅建设，实现全部审批事项上网。持续开展“减证便民”</w:t>
      </w:r>
      <w:r>
        <w:rPr>
          <w:rFonts w:hint="eastAsia"/>
          <w:b w:val="0"/>
          <w:bCs w:val="0"/>
          <w:color w:val="auto"/>
          <w:highlight w:val="none"/>
          <w:lang w:eastAsia="zh-CN"/>
        </w:rPr>
        <w:t>，</w:t>
      </w:r>
      <w:r>
        <w:rPr>
          <w:rFonts w:hint="eastAsia"/>
          <w:b w:val="0"/>
          <w:bCs w:val="0"/>
          <w:color w:val="auto"/>
          <w:highlight w:val="none"/>
        </w:rPr>
        <w:t>行动</w:t>
      </w:r>
      <w:r>
        <w:rPr>
          <w:color w:val="auto"/>
          <w:highlight w:val="none"/>
        </w:rPr>
        <w:t>改革各种审批限制，建立统一公开透明的市场准入制度，为投资创业创造公平的准入环境。建立健全统一规范的市场监管规则。强化市场规则的统一性、市场监管执法的统一性，建立统一协调的执法体制、执法规则和执法程序，提高市场监管的公开性和透明度。严格执行市场主体异常名录、</w:t>
      </w:r>
      <w:r>
        <w:rPr>
          <w:rFonts w:hint="eastAsia"/>
          <w:color w:val="auto"/>
          <w:highlight w:val="none"/>
        </w:rPr>
        <w:t>“</w:t>
      </w:r>
      <w:r>
        <w:rPr>
          <w:color w:val="auto"/>
          <w:highlight w:val="none"/>
        </w:rPr>
        <w:t>黑名单</w:t>
      </w:r>
      <w:r>
        <w:rPr>
          <w:rFonts w:hint="eastAsia"/>
          <w:color w:val="auto"/>
          <w:highlight w:val="none"/>
        </w:rPr>
        <w:t>”</w:t>
      </w:r>
      <w:r>
        <w:rPr>
          <w:color w:val="auto"/>
          <w:highlight w:val="none"/>
        </w:rPr>
        <w:t>制度。继续做好</w:t>
      </w:r>
      <w:r>
        <w:rPr>
          <w:rFonts w:hint="eastAsia"/>
          <w:color w:val="auto"/>
          <w:highlight w:val="none"/>
          <w:lang w:eastAsia="zh-CN"/>
        </w:rPr>
        <w:t>“双随机、一公开”</w:t>
      </w:r>
      <w:r>
        <w:rPr>
          <w:color w:val="auto"/>
          <w:highlight w:val="none"/>
        </w:rPr>
        <w:t>抽查计划及结果录入、跨部门抽查等工作。探索建立企业名称争议处理机制，完善企业名称与驰名商标、注册商标权利冲突解决机制，维护企业合法权益。优化商事登记服务方式加快推进全程电子化登记改革，推动企业登记基本信息和电子营业执照在部门间互认共享。</w:t>
      </w:r>
    </w:p>
    <w:p>
      <w:pPr>
        <w:pStyle w:val="2"/>
        <w:rPr>
          <w:color w:val="auto"/>
          <w:highlight w:val="none"/>
        </w:rPr>
      </w:pPr>
    </w:p>
    <w:p/>
    <w:p>
      <w:pPr>
        <w:pStyle w:val="4"/>
        <w:spacing w:before="62" w:after="62"/>
        <w:ind w:firstLine="0"/>
        <w:jc w:val="center"/>
        <w:rPr>
          <w:rFonts w:hint="default" w:ascii="宋体" w:hAnsi="宋体"/>
          <w:color w:val="auto"/>
          <w:highlight w:val="none"/>
        </w:rPr>
      </w:pPr>
      <w:bookmarkStart w:id="241" w:name="_Toc30556"/>
      <w:bookmarkStart w:id="242" w:name="_Toc15800"/>
      <w:bookmarkStart w:id="243" w:name="_Toc53003180"/>
      <w:bookmarkStart w:id="244" w:name="_Toc25892"/>
      <w:bookmarkStart w:id="245" w:name="_Toc31421"/>
      <w:bookmarkStart w:id="246" w:name="_Toc11841"/>
      <w:bookmarkStart w:id="247" w:name="_Toc25308"/>
      <w:r>
        <w:rPr>
          <w:rFonts w:hint="default" w:ascii="宋体" w:hAnsi="宋体"/>
          <w:color w:val="auto"/>
          <w:highlight w:val="none"/>
        </w:rPr>
        <w:t>第三节 推进外贸转型升级</w:t>
      </w:r>
      <w:bookmarkEnd w:id="241"/>
      <w:bookmarkEnd w:id="242"/>
      <w:bookmarkEnd w:id="243"/>
      <w:bookmarkEnd w:id="244"/>
      <w:bookmarkEnd w:id="245"/>
      <w:bookmarkEnd w:id="246"/>
      <w:bookmarkEnd w:id="247"/>
    </w:p>
    <w:p>
      <w:pPr>
        <w:ind w:firstLine="640"/>
        <w:rPr>
          <w:color w:val="auto"/>
          <w:highlight w:val="none"/>
        </w:rPr>
      </w:pPr>
      <w:r>
        <w:rPr>
          <w:color w:val="auto"/>
          <w:highlight w:val="none"/>
        </w:rPr>
        <w:t>加快推动由商品和要素流动型开放向规则等制度型开放转变，深化外贸领域改革，强化科技创新、制度创新、模式和业态创新，以共建</w:t>
      </w:r>
      <w:r>
        <w:rPr>
          <w:rFonts w:hint="eastAsia"/>
          <w:color w:val="auto"/>
          <w:highlight w:val="none"/>
        </w:rPr>
        <w:t>“</w:t>
      </w:r>
      <w:r>
        <w:rPr>
          <w:color w:val="auto"/>
          <w:highlight w:val="none"/>
        </w:rPr>
        <w:t>一带一路</w:t>
      </w:r>
      <w:r>
        <w:rPr>
          <w:rFonts w:hint="eastAsia"/>
          <w:color w:val="auto"/>
          <w:highlight w:val="none"/>
        </w:rPr>
        <w:t>”</w:t>
      </w:r>
      <w:r>
        <w:rPr>
          <w:color w:val="auto"/>
          <w:highlight w:val="none"/>
        </w:rPr>
        <w:t>为重点，大力优化贸易结构，促进国际国内要素有序自由流动、资源高效配置、市场深度融合，促进国际收支基本平衡，实现贸易高质量发展，开创开放合作、包容普惠、共享共赢的国际贸易新局面。</w:t>
      </w:r>
      <w:r>
        <w:rPr>
          <w:rFonts w:hint="eastAsia"/>
          <w:color w:val="auto"/>
          <w:highlight w:val="none"/>
        </w:rPr>
        <w:t>主动对接南油和湛江海关，争取南油港口和坡头海关服务坡头外贸发展。</w:t>
      </w:r>
      <w:r>
        <w:rPr>
          <w:color w:val="auto"/>
          <w:highlight w:val="none"/>
        </w:rPr>
        <w:t>推进国际贸易</w:t>
      </w:r>
      <w:r>
        <w:rPr>
          <w:rFonts w:hint="eastAsia"/>
          <w:color w:val="auto"/>
          <w:highlight w:val="none"/>
        </w:rPr>
        <w:t>“</w:t>
      </w:r>
      <w:r>
        <w:rPr>
          <w:color w:val="auto"/>
          <w:highlight w:val="none"/>
        </w:rPr>
        <w:t>单一窗口</w:t>
      </w:r>
      <w:r>
        <w:rPr>
          <w:rFonts w:hint="eastAsia"/>
          <w:color w:val="auto"/>
          <w:highlight w:val="none"/>
        </w:rPr>
        <w:t>”</w:t>
      </w:r>
      <w:r>
        <w:rPr>
          <w:color w:val="auto"/>
          <w:highlight w:val="none"/>
        </w:rPr>
        <w:t>建设，不断压缩通关时间。扩大</w:t>
      </w:r>
      <w:r>
        <w:rPr>
          <w:rFonts w:hint="eastAsia"/>
          <w:color w:val="auto"/>
          <w:highlight w:val="none"/>
        </w:rPr>
        <w:t>“</w:t>
      </w:r>
      <w:r>
        <w:rPr>
          <w:color w:val="auto"/>
          <w:highlight w:val="none"/>
        </w:rPr>
        <w:t>三个一</w:t>
      </w:r>
      <w:r>
        <w:rPr>
          <w:rFonts w:hint="eastAsia"/>
          <w:color w:val="auto"/>
          <w:highlight w:val="none"/>
        </w:rPr>
        <w:t>”</w:t>
      </w:r>
      <w:r>
        <w:rPr>
          <w:color w:val="auto"/>
          <w:highlight w:val="none"/>
        </w:rPr>
        <w:t>通关模式覆盖面，加快推进</w:t>
      </w:r>
      <w:r>
        <w:rPr>
          <w:rFonts w:hint="eastAsia"/>
          <w:color w:val="auto"/>
          <w:highlight w:val="none"/>
        </w:rPr>
        <w:t>“</w:t>
      </w:r>
      <w:r>
        <w:rPr>
          <w:color w:val="auto"/>
          <w:highlight w:val="none"/>
        </w:rPr>
        <w:t>三互</w:t>
      </w:r>
      <w:r>
        <w:rPr>
          <w:rFonts w:hint="eastAsia"/>
          <w:color w:val="auto"/>
          <w:highlight w:val="none"/>
        </w:rPr>
        <w:t>”</w:t>
      </w:r>
      <w:r>
        <w:rPr>
          <w:color w:val="auto"/>
          <w:highlight w:val="none"/>
        </w:rPr>
        <w:t>口岸协助机制。积极争取外汇资金集中运营、跨境投融资便利化、扩大人民币跨境使用等方面改革和试点，推动外汇资金便利化。构建高效便捷以投资者和外商投资企业信息报告和公示制度为基础的监管体系，促进投资便利化。</w:t>
      </w:r>
    </w:p>
    <w:p>
      <w:pPr>
        <w:pStyle w:val="4"/>
        <w:spacing w:before="62" w:after="62"/>
        <w:ind w:firstLine="0"/>
        <w:jc w:val="center"/>
        <w:rPr>
          <w:rFonts w:hint="default" w:ascii="宋体" w:hAnsi="宋体"/>
          <w:color w:val="auto"/>
          <w:highlight w:val="none"/>
        </w:rPr>
      </w:pPr>
      <w:bookmarkStart w:id="248" w:name="_Toc15838"/>
      <w:bookmarkStart w:id="249" w:name="_Toc6293"/>
      <w:bookmarkStart w:id="250" w:name="_Toc8355"/>
      <w:bookmarkStart w:id="251" w:name="_Toc5331"/>
      <w:bookmarkStart w:id="252" w:name="_Toc20368"/>
      <w:bookmarkStart w:id="253" w:name="_Toc53003181"/>
      <w:bookmarkStart w:id="254" w:name="_Toc26244"/>
      <w:r>
        <w:rPr>
          <w:rFonts w:hint="default" w:ascii="宋体" w:hAnsi="宋体"/>
          <w:color w:val="auto"/>
          <w:highlight w:val="none"/>
        </w:rPr>
        <w:t>第四节 加强东盟合作对接</w:t>
      </w:r>
      <w:bookmarkEnd w:id="248"/>
      <w:bookmarkEnd w:id="249"/>
      <w:bookmarkEnd w:id="250"/>
      <w:bookmarkEnd w:id="251"/>
      <w:bookmarkEnd w:id="252"/>
      <w:bookmarkEnd w:id="253"/>
      <w:bookmarkEnd w:id="254"/>
    </w:p>
    <w:p>
      <w:pPr>
        <w:ind w:firstLine="640"/>
        <w:rPr>
          <w:color w:val="auto"/>
          <w:highlight w:val="none"/>
        </w:rPr>
      </w:pPr>
      <w:r>
        <w:rPr>
          <w:color w:val="auto"/>
          <w:highlight w:val="none"/>
        </w:rPr>
        <w:t>湛江作为广东对接东盟的前沿城市，在共建西部陆海新通道中的地位不可或缺。充分发挥湛江作为</w:t>
      </w:r>
      <w:r>
        <w:rPr>
          <w:rFonts w:hint="eastAsia"/>
          <w:color w:val="auto"/>
          <w:highlight w:val="none"/>
        </w:rPr>
        <w:t>“</w:t>
      </w:r>
      <w:r>
        <w:rPr>
          <w:color w:val="auto"/>
          <w:highlight w:val="none"/>
        </w:rPr>
        <w:t>一带一路</w:t>
      </w:r>
      <w:r>
        <w:rPr>
          <w:rFonts w:hint="eastAsia"/>
          <w:color w:val="auto"/>
          <w:highlight w:val="none"/>
        </w:rPr>
        <w:t>”</w:t>
      </w:r>
      <w:r>
        <w:rPr>
          <w:color w:val="auto"/>
          <w:highlight w:val="none"/>
        </w:rPr>
        <w:t>海上合作支点城市和广东对接东盟前沿城市的优势，打造中国—东盟自贸区合作示范区。充分发挥坡头</w:t>
      </w:r>
      <w:r>
        <w:rPr>
          <w:rFonts w:hint="eastAsia"/>
          <w:color w:val="auto"/>
          <w:highlight w:val="none"/>
        </w:rPr>
        <w:t>“</w:t>
      </w:r>
      <w:r>
        <w:rPr>
          <w:color w:val="auto"/>
          <w:highlight w:val="none"/>
        </w:rPr>
        <w:t>承东启西、连接海内外</w:t>
      </w:r>
      <w:r>
        <w:rPr>
          <w:rFonts w:hint="eastAsia"/>
          <w:color w:val="auto"/>
          <w:highlight w:val="none"/>
        </w:rPr>
        <w:t>”</w:t>
      </w:r>
      <w:r>
        <w:rPr>
          <w:color w:val="auto"/>
          <w:highlight w:val="none"/>
        </w:rPr>
        <w:t>的重要战略作用，加强内外联动，推进对外开放高质量发展。打造上下游产业链条，与产业发达地区有机衔接，大力培育打造优质产业服务平台，鼓励</w:t>
      </w:r>
      <w:r>
        <w:rPr>
          <w:rFonts w:hint="eastAsia"/>
          <w:color w:val="auto"/>
          <w:highlight w:val="none"/>
          <w:lang w:val="en-US" w:eastAsia="zh-CN"/>
        </w:rPr>
        <w:t>小</w:t>
      </w:r>
      <w:r>
        <w:rPr>
          <w:color w:val="auto"/>
          <w:highlight w:val="none"/>
        </w:rPr>
        <w:t>家电行业抱团</w:t>
      </w:r>
      <w:r>
        <w:rPr>
          <w:rFonts w:hint="eastAsia"/>
          <w:color w:val="auto"/>
          <w:highlight w:val="none"/>
        </w:rPr>
        <w:t>“</w:t>
      </w:r>
      <w:r>
        <w:rPr>
          <w:color w:val="auto"/>
          <w:highlight w:val="none"/>
        </w:rPr>
        <w:t>走出去</w:t>
      </w:r>
      <w:r>
        <w:rPr>
          <w:rFonts w:hint="eastAsia"/>
          <w:color w:val="auto"/>
          <w:highlight w:val="none"/>
        </w:rPr>
        <w:t>”</w:t>
      </w:r>
      <w:r>
        <w:rPr>
          <w:color w:val="auto"/>
          <w:highlight w:val="none"/>
        </w:rPr>
        <w:t>，努力稳定开放水平。</w:t>
      </w:r>
    </w:p>
    <w:p>
      <w:pPr>
        <w:pStyle w:val="4"/>
        <w:spacing w:before="62" w:after="62"/>
        <w:ind w:firstLine="0"/>
        <w:jc w:val="center"/>
        <w:rPr>
          <w:rFonts w:hint="default"/>
          <w:color w:val="auto"/>
          <w:highlight w:val="none"/>
        </w:rPr>
      </w:pPr>
      <w:bookmarkStart w:id="255" w:name="_Toc2600"/>
      <w:bookmarkStart w:id="256" w:name="_Toc9410"/>
      <w:bookmarkStart w:id="257" w:name="_Toc53003182"/>
      <w:bookmarkStart w:id="258" w:name="_Toc28964"/>
      <w:bookmarkStart w:id="259" w:name="_Toc10366"/>
      <w:bookmarkStart w:id="260" w:name="_Toc16552"/>
      <w:bookmarkStart w:id="261" w:name="_Toc27200"/>
      <w:r>
        <w:rPr>
          <w:rFonts w:hint="default"/>
          <w:color w:val="auto"/>
          <w:highlight w:val="none"/>
        </w:rPr>
        <w:t>第五节 引进国际先进技术</w:t>
      </w:r>
      <w:bookmarkEnd w:id="255"/>
      <w:bookmarkEnd w:id="256"/>
      <w:bookmarkEnd w:id="257"/>
      <w:bookmarkEnd w:id="258"/>
      <w:bookmarkEnd w:id="259"/>
      <w:bookmarkEnd w:id="260"/>
      <w:bookmarkEnd w:id="261"/>
    </w:p>
    <w:p>
      <w:pPr>
        <w:ind w:firstLine="640"/>
        <w:rPr>
          <w:color w:val="auto"/>
          <w:highlight w:val="none"/>
        </w:rPr>
      </w:pPr>
      <w:r>
        <w:rPr>
          <w:color w:val="auto"/>
          <w:highlight w:val="none"/>
        </w:rPr>
        <w:t>引进国际先进技术并培育一批行业性龙头高新技术企业，推动有条件的企业组建新型研发机构，促进产学研结合，创建省级乃至国家级工程技术研究开发中心、重点实验室等研发机构，鼓励创建</w:t>
      </w:r>
      <w:r>
        <w:rPr>
          <w:rFonts w:hint="eastAsia"/>
          <w:color w:val="auto"/>
          <w:highlight w:val="none"/>
          <w:lang w:val="en-US" w:eastAsia="zh-CN"/>
        </w:rPr>
        <w:t>特色</w:t>
      </w:r>
      <w:r>
        <w:rPr>
          <w:color w:val="auto"/>
          <w:highlight w:val="none"/>
        </w:rPr>
        <w:t>品牌，着力提升高新技术产业规模。鼓励和支持开展原始创新、集成创新和引进消化吸收再创新活动，创造具有市场竞争力的自主创新成果。支持企业、事业单位通过引进技术和技术合作、技术外包、专利许可或者建立战略联盟等方式，对各种现有技术进行集成创新，促进产业关键共性技术研发、系统集成和工程化条件的完善，形成有市场竞争力的产品或者新兴产业。</w:t>
      </w:r>
    </w:p>
    <w:p>
      <w:pPr>
        <w:ind w:firstLine="640"/>
        <w:rPr>
          <w:color w:val="auto"/>
          <w:highlight w:val="none"/>
        </w:rPr>
      </w:pP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262" w:name="_Toc53003183"/>
      <w:bookmarkStart w:id="263" w:name="_Toc2216"/>
      <w:r>
        <w:rPr>
          <w:color w:val="auto"/>
          <w:highlight w:val="none"/>
        </w:rPr>
        <w:t>第</w:t>
      </w:r>
      <w:r>
        <w:rPr>
          <w:rFonts w:hint="eastAsia"/>
          <w:color w:val="auto"/>
          <w:highlight w:val="none"/>
          <w:lang w:val="en-US" w:eastAsia="zh-CN"/>
        </w:rPr>
        <w:t>十</w:t>
      </w:r>
      <w:r>
        <w:rPr>
          <w:color w:val="auto"/>
          <w:highlight w:val="none"/>
        </w:rPr>
        <w:t xml:space="preserve">章  </w:t>
      </w:r>
      <w:r>
        <w:rPr>
          <w:rFonts w:hint="eastAsia"/>
          <w:color w:val="auto"/>
          <w:highlight w:val="none"/>
        </w:rPr>
        <w:t xml:space="preserve">绿色低碳发展 </w:t>
      </w:r>
      <w:bookmarkEnd w:id="262"/>
      <w:r>
        <w:rPr>
          <w:rFonts w:hint="eastAsia"/>
          <w:color w:val="auto"/>
          <w:highlight w:val="none"/>
        </w:rPr>
        <w:t>树立生态文明新标杆</w:t>
      </w:r>
      <w:bookmarkEnd w:id="263"/>
    </w:p>
    <w:p>
      <w:pPr>
        <w:ind w:firstLine="640"/>
        <w:rPr>
          <w:color w:val="auto"/>
          <w:highlight w:val="none"/>
        </w:rPr>
      </w:pPr>
      <w:r>
        <w:rPr>
          <w:color w:val="auto"/>
          <w:highlight w:val="none"/>
        </w:rPr>
        <w:t>牢固树立</w:t>
      </w:r>
      <w:r>
        <w:rPr>
          <w:rFonts w:hint="eastAsia"/>
          <w:color w:val="auto"/>
          <w:highlight w:val="none"/>
        </w:rPr>
        <w:t>“</w:t>
      </w:r>
      <w:r>
        <w:rPr>
          <w:color w:val="auto"/>
          <w:highlight w:val="none"/>
        </w:rPr>
        <w:t>绿水青山就是金山银山</w:t>
      </w:r>
      <w:r>
        <w:rPr>
          <w:rFonts w:hint="eastAsia"/>
          <w:color w:val="auto"/>
          <w:highlight w:val="none"/>
        </w:rPr>
        <w:t>”</w:t>
      </w:r>
      <w:r>
        <w:rPr>
          <w:color w:val="auto"/>
          <w:highlight w:val="none"/>
        </w:rPr>
        <w:t>理念，坚决打好污染防治攻坚战和生态文明建设持久战，以良好生态为城乡扩容提质支撑。</w:t>
      </w:r>
    </w:p>
    <w:p>
      <w:pPr>
        <w:pStyle w:val="4"/>
        <w:spacing w:before="62" w:after="62"/>
        <w:ind w:firstLine="0"/>
        <w:jc w:val="center"/>
        <w:rPr>
          <w:rFonts w:hint="default" w:ascii="宋体" w:hAnsi="宋体"/>
          <w:color w:val="auto"/>
          <w:highlight w:val="none"/>
        </w:rPr>
      </w:pPr>
      <w:bookmarkStart w:id="264" w:name="_Toc19645"/>
      <w:bookmarkStart w:id="265" w:name="_Toc53003184"/>
      <w:r>
        <w:rPr>
          <w:rFonts w:hint="default" w:ascii="宋体" w:hAnsi="宋体"/>
          <w:color w:val="auto"/>
          <w:highlight w:val="none"/>
        </w:rPr>
        <w:t>第一节 持续改善生态环境</w:t>
      </w:r>
      <w:bookmarkEnd w:id="264"/>
      <w:bookmarkEnd w:id="265"/>
    </w:p>
    <w:p>
      <w:pPr>
        <w:ind w:firstLine="640"/>
        <w:rPr>
          <w:color w:val="auto"/>
          <w:highlight w:val="none"/>
        </w:rPr>
      </w:pPr>
      <w:r>
        <w:rPr>
          <w:color w:val="auto"/>
          <w:highlight w:val="none"/>
        </w:rPr>
        <w:t>加强生态环境修复和综合治理，强化环境污染综合防治，坚持用最严格制度最严密法治保护生态环境，坚决打好</w:t>
      </w:r>
      <w:r>
        <w:rPr>
          <w:rFonts w:hint="eastAsia"/>
          <w:color w:val="auto"/>
          <w:highlight w:val="none"/>
        </w:rPr>
        <w:t>“</w:t>
      </w:r>
      <w:r>
        <w:rPr>
          <w:color w:val="auto"/>
          <w:highlight w:val="none"/>
        </w:rPr>
        <w:t>三大战役</w:t>
      </w:r>
      <w:r>
        <w:rPr>
          <w:rFonts w:hint="eastAsia"/>
          <w:color w:val="auto"/>
          <w:highlight w:val="none"/>
        </w:rPr>
        <w:t>”</w:t>
      </w:r>
      <w:r>
        <w:rPr>
          <w:color w:val="auto"/>
          <w:highlight w:val="none"/>
        </w:rPr>
        <w:t>，改善城乡人居环境。</w:t>
      </w:r>
      <w:r>
        <w:rPr>
          <w:rFonts w:hint="eastAsia"/>
          <w:color w:val="auto"/>
          <w:highlight w:val="none"/>
        </w:rPr>
        <w:t>建立生态保护红线常态化执法机制，形成生态系统保护成效监测评估，严肃查处生态破坏行为。</w:t>
      </w:r>
    </w:p>
    <w:p>
      <w:pPr>
        <w:bidi w:val="0"/>
        <w:rPr>
          <w:color w:val="auto"/>
          <w:highlight w:val="none"/>
        </w:rPr>
      </w:pPr>
      <w:r>
        <w:rPr>
          <w:b/>
          <w:bCs/>
          <w:color w:val="auto"/>
          <w:highlight w:val="none"/>
        </w:rPr>
        <w:t>坚决打赢蓝天保卫战</w:t>
      </w:r>
      <w:r>
        <w:rPr>
          <w:rFonts w:hint="eastAsia"/>
          <w:b/>
          <w:bCs/>
          <w:color w:val="auto"/>
          <w:highlight w:val="none"/>
          <w:lang w:eastAsia="zh-CN"/>
        </w:rPr>
        <w:t>。</w:t>
      </w:r>
      <w:r>
        <w:rPr>
          <w:rFonts w:hint="eastAsia"/>
          <w:color w:val="auto"/>
          <w:highlight w:val="none"/>
          <w:lang w:val="en-US" w:eastAsia="zh-CN"/>
        </w:rPr>
        <w:t>落实</w:t>
      </w:r>
      <w:r>
        <w:rPr>
          <w:color w:val="auto"/>
          <w:highlight w:val="none"/>
        </w:rPr>
        <w:t>大气污染防治巡查督导</w:t>
      </w:r>
      <w:r>
        <w:rPr>
          <w:rFonts w:hint="eastAsia"/>
          <w:color w:val="auto"/>
          <w:highlight w:val="none"/>
          <w:lang w:val="en-US" w:eastAsia="zh-CN"/>
        </w:rPr>
        <w:t>常态化</w:t>
      </w:r>
      <w:r>
        <w:rPr>
          <w:rFonts w:hint="eastAsia"/>
          <w:color w:val="auto"/>
          <w:highlight w:val="none"/>
          <w:lang w:eastAsia="zh-CN"/>
        </w:rPr>
        <w:t>，</w:t>
      </w:r>
      <w:r>
        <w:rPr>
          <w:color w:val="auto"/>
          <w:highlight w:val="none"/>
        </w:rPr>
        <w:t>加强对挥发性有机物和</w:t>
      </w:r>
      <w:r>
        <w:rPr>
          <w:rFonts w:hint="eastAsia" w:ascii="Times New Roman" w:hAnsi="Times New Roman"/>
          <w:color w:val="auto"/>
          <w:highlight w:val="none"/>
          <w:lang w:eastAsia="zh-CN"/>
        </w:rPr>
        <w:t>PM2.5</w:t>
      </w:r>
      <w:r>
        <w:rPr>
          <w:color w:val="auto"/>
          <w:highlight w:val="none"/>
        </w:rPr>
        <w:t>重点排放企业的治理</w:t>
      </w:r>
      <w:r>
        <w:rPr>
          <w:rFonts w:hint="eastAsia"/>
          <w:color w:val="auto"/>
          <w:highlight w:val="none"/>
          <w:lang w:eastAsia="zh-CN"/>
        </w:rPr>
        <w:t>。</w:t>
      </w:r>
      <w:r>
        <w:rPr>
          <w:rFonts w:hint="eastAsia"/>
          <w:color w:val="auto"/>
          <w:highlight w:val="none"/>
        </w:rPr>
        <w:t>强化机动车尾气治理，加强船舶废气污染防治，大力推进公交电动化和新能源车使用</w:t>
      </w:r>
      <w:r>
        <w:rPr>
          <w:color w:val="auto"/>
          <w:highlight w:val="none"/>
        </w:rPr>
        <w:t>。推进燃煤锅炉和窑炉清洁能源替代工作。强化施工工地扬尘监管，严格落实施工</w:t>
      </w:r>
      <w:r>
        <w:rPr>
          <w:rFonts w:hint="eastAsia"/>
          <w:color w:val="auto"/>
          <w:highlight w:val="none"/>
        </w:rPr>
        <w:t>“</w:t>
      </w:r>
      <w:r>
        <w:rPr>
          <w:rFonts w:hint="eastAsia" w:ascii="Times New Roman" w:hAnsi="Times New Roman"/>
          <w:color w:val="auto"/>
          <w:highlight w:val="none"/>
          <w:lang w:eastAsia="zh-CN"/>
        </w:rPr>
        <w:t>6</w:t>
      </w:r>
      <w:r>
        <w:rPr>
          <w:color w:val="auto"/>
          <w:highlight w:val="none"/>
        </w:rPr>
        <w:t>个</w:t>
      </w:r>
      <w:r>
        <w:rPr>
          <w:rFonts w:hint="eastAsia" w:ascii="Times New Roman" w:hAnsi="Times New Roman"/>
          <w:color w:val="auto"/>
          <w:highlight w:val="none"/>
          <w:lang w:eastAsia="zh-CN"/>
        </w:rPr>
        <w:t>100%</w:t>
      </w:r>
      <w:r>
        <w:rPr>
          <w:rFonts w:hint="eastAsia"/>
          <w:color w:val="auto"/>
          <w:highlight w:val="none"/>
        </w:rPr>
        <w:t>”</w:t>
      </w:r>
      <w:r>
        <w:rPr>
          <w:color w:val="auto"/>
          <w:highlight w:val="none"/>
        </w:rPr>
        <w:t>。实施污染防治</w:t>
      </w:r>
      <w:r>
        <w:rPr>
          <w:rFonts w:hint="eastAsia" w:ascii="仿宋" w:hAnsi="仿宋" w:eastAsia="仿宋" w:cs="仿宋"/>
          <w:color w:val="auto"/>
          <w:highlight w:val="none"/>
        </w:rPr>
        <w:t>“再排查再整治再提升”大</w:t>
      </w:r>
      <w:r>
        <w:rPr>
          <w:color w:val="auto"/>
          <w:highlight w:val="none"/>
        </w:rPr>
        <w:t>行动。强抓改善空气质量工作，建立健全区域联防联控、部门间衔接协调机制</w:t>
      </w:r>
      <w:r>
        <w:rPr>
          <w:rFonts w:hint="eastAsia"/>
          <w:color w:val="auto"/>
          <w:highlight w:val="none"/>
        </w:rPr>
        <w:t>。</w:t>
      </w:r>
    </w:p>
    <w:p>
      <w:pPr>
        <w:bidi w:val="0"/>
        <w:rPr>
          <w:color w:val="auto"/>
          <w:highlight w:val="none"/>
        </w:rPr>
      </w:pPr>
      <w:r>
        <w:rPr>
          <w:b/>
          <w:bCs/>
          <w:color w:val="auto"/>
          <w:highlight w:val="none"/>
        </w:rPr>
        <w:t>突出打好碧水攻坚战</w:t>
      </w:r>
      <w:r>
        <w:rPr>
          <w:rFonts w:hint="eastAsia"/>
          <w:b/>
          <w:bCs/>
          <w:color w:val="auto"/>
          <w:highlight w:val="none"/>
          <w:lang w:eastAsia="zh-CN"/>
        </w:rPr>
        <w:t>。</w:t>
      </w:r>
      <w:r>
        <w:rPr>
          <w:color w:val="auto"/>
          <w:highlight w:val="none"/>
        </w:rPr>
        <w:t>坚持河长制工作不松懈，建立健全巡河长效机制，系统推进江河流域整治。实施污水处理设施及管网建设改造，重点做好甘村水库饮用水源污染整治、工业园区污水排放监管、入河入海排污口监管整治，积极推进镇级生活污水处理设施建设和农村生活污水治理工作。</w:t>
      </w:r>
    </w:p>
    <w:p>
      <w:pPr>
        <w:bidi w:val="0"/>
        <w:rPr>
          <w:color w:val="auto"/>
          <w:highlight w:val="none"/>
        </w:rPr>
      </w:pPr>
      <w:r>
        <w:rPr>
          <w:b/>
          <w:bCs/>
          <w:color w:val="auto"/>
          <w:highlight w:val="none"/>
        </w:rPr>
        <w:t>扎实打好净土防御战</w:t>
      </w:r>
      <w:r>
        <w:rPr>
          <w:rFonts w:hint="eastAsia"/>
          <w:b/>
          <w:bCs/>
          <w:color w:val="auto"/>
          <w:highlight w:val="none"/>
          <w:lang w:eastAsia="zh-CN"/>
        </w:rPr>
        <w:t>。</w:t>
      </w:r>
      <w:r>
        <w:rPr>
          <w:color w:val="auto"/>
          <w:highlight w:val="none"/>
        </w:rPr>
        <w:t>摸清土壤污染底数，实施农用地分级分类管理，加强农业农村污染治理。加快推进典型区域土壤污染综合治理与修复试点示范，解决一批土壤污染历史遗留问题。强化固体废物污染防治。做好危险废物规范化管理，提高固体废物管理水平，对危险废物重点产生和经营单位加强监管，严格危险废物产生、转移、贮存和利用处</w:t>
      </w:r>
      <w:r>
        <w:rPr>
          <w:rFonts w:hint="eastAsia"/>
          <w:color w:val="auto"/>
          <w:highlight w:val="none"/>
          <w:lang w:val="en-US" w:eastAsia="zh-CN"/>
        </w:rPr>
        <w:t>置</w:t>
      </w:r>
      <w:r>
        <w:rPr>
          <w:color w:val="auto"/>
          <w:highlight w:val="none"/>
        </w:rPr>
        <w:t>各个环节的执法检查，严厉打击固体废物环境违法行为，确保环境安全。</w:t>
      </w:r>
    </w:p>
    <w:p>
      <w:pPr>
        <w:bidi w:val="0"/>
        <w:rPr>
          <w:color w:val="auto"/>
          <w:highlight w:val="none"/>
        </w:rPr>
      </w:pPr>
      <w:r>
        <w:rPr>
          <w:rFonts w:hint="eastAsia"/>
          <w:b/>
          <w:bCs/>
          <w:color w:val="auto"/>
          <w:highlight w:val="none"/>
        </w:rPr>
        <w:t>强化海洋生态保护</w:t>
      </w:r>
      <w:r>
        <w:rPr>
          <w:rFonts w:hint="eastAsia"/>
          <w:b/>
          <w:bCs/>
          <w:color w:val="auto"/>
          <w:highlight w:val="none"/>
          <w:lang w:eastAsia="zh-CN"/>
        </w:rPr>
        <w:t>。</w:t>
      </w:r>
      <w:r>
        <w:rPr>
          <w:rFonts w:hint="eastAsia"/>
          <w:color w:val="auto"/>
          <w:highlight w:val="none"/>
        </w:rPr>
        <w:t>加快海岸带综合保护与利用示范区建设。</w:t>
      </w:r>
      <w:r>
        <w:rPr>
          <w:rFonts w:hint="eastAsia"/>
          <w:color w:val="auto"/>
          <w:highlight w:val="none"/>
          <w:lang w:val="en-US" w:eastAsia="zh-CN"/>
        </w:rPr>
        <w:t>推进</w:t>
      </w:r>
      <w:r>
        <w:rPr>
          <w:rFonts w:hint="eastAsia"/>
          <w:color w:val="auto"/>
          <w:highlight w:val="none"/>
        </w:rPr>
        <w:t>岸线修复工作，开展海岸带生态整治修复，加快推进湛江湾</w:t>
      </w:r>
      <w:r>
        <w:rPr>
          <w:rFonts w:hint="eastAsia"/>
          <w:color w:val="auto"/>
          <w:highlight w:val="none"/>
          <w:lang w:val="en-US" w:eastAsia="zh-CN"/>
        </w:rPr>
        <w:t>国家海洋</w:t>
      </w:r>
      <w:r>
        <w:rPr>
          <w:rFonts w:hint="eastAsia"/>
          <w:color w:val="auto"/>
          <w:highlight w:val="none"/>
        </w:rPr>
        <w:t>湿地公园、南调河</w:t>
      </w:r>
      <w:r>
        <w:rPr>
          <w:rFonts w:hint="eastAsia"/>
          <w:color w:val="auto"/>
          <w:highlight w:val="none"/>
          <w:lang w:val="en-US" w:eastAsia="zh-CN"/>
        </w:rPr>
        <w:t>综合整治</w:t>
      </w:r>
      <w:r>
        <w:rPr>
          <w:rFonts w:hint="eastAsia"/>
          <w:color w:val="auto"/>
          <w:highlight w:val="none"/>
        </w:rPr>
        <w:t>碧道工程，着力推进美丽海湾建设。加强海洋污染治理，创新养殖尾水处理技术，强化陆源入海污染控制，严格防范近岸海域环境风险。探索海岸带空间管控模式，推进湾长制，探索实行海岸带带长制、滩长制，推动与大湾区生态环境保护市场化补偿机制，统筹资源开发和生态环境保护，推动形成海陆协调的生态、生活、生产“三生”空间总体架构。实行污染物排海总量和标准控制制度，加快建设和完善沿海城镇污水处理设施建设，提高近岸海域生态环境质量。强化休渔制度，开展渔业资源增殖放流，促进海洋生态平衡，保护海洋生物</w:t>
      </w:r>
      <w:r>
        <w:rPr>
          <w:rFonts w:hint="eastAsia" w:ascii="仿宋" w:hAnsi="仿宋" w:cs="仿宋"/>
          <w:color w:val="auto"/>
          <w:highlight w:val="none"/>
        </w:rPr>
        <w:t>多样性。建成一批生态示范区及自然保护区，使主要河口、重点港湾、滨海旅游区等重要海域的生态环境质量明显提高。到</w:t>
      </w:r>
      <w:r>
        <w:rPr>
          <w:rFonts w:hint="eastAsia" w:ascii="Times New Roman" w:hAnsi="Times New Roman" w:cs="仿宋"/>
          <w:color w:val="auto"/>
          <w:highlight w:val="none"/>
          <w:lang w:eastAsia="zh-CN"/>
        </w:rPr>
        <w:t>2025</w:t>
      </w:r>
      <w:r>
        <w:rPr>
          <w:rFonts w:hint="eastAsia" w:ascii="仿宋" w:hAnsi="仿宋" w:cs="仿宋"/>
          <w:color w:val="auto"/>
          <w:highlight w:val="none"/>
        </w:rPr>
        <w:t>年，力争近岸海域功能区水质达标率达到</w:t>
      </w:r>
      <w:r>
        <w:rPr>
          <w:rFonts w:hint="eastAsia" w:ascii="Times New Roman" w:hAnsi="Times New Roman" w:cs="仿宋"/>
          <w:color w:val="auto"/>
          <w:highlight w:val="none"/>
          <w:lang w:eastAsia="zh-CN"/>
        </w:rPr>
        <w:t>100%</w:t>
      </w:r>
      <w:r>
        <w:rPr>
          <w:rFonts w:hint="eastAsia" w:ascii="仿宋" w:hAnsi="仿宋" w:cs="仿宋"/>
          <w:color w:val="auto"/>
          <w:highlight w:val="none"/>
        </w:rPr>
        <w:t>。</w:t>
      </w:r>
    </w:p>
    <w:p>
      <w:pPr>
        <w:pStyle w:val="4"/>
        <w:spacing w:before="62" w:after="62"/>
        <w:ind w:firstLine="0"/>
        <w:jc w:val="center"/>
        <w:rPr>
          <w:rFonts w:hint="default" w:ascii="宋体" w:hAnsi="宋体"/>
          <w:color w:val="auto"/>
          <w:highlight w:val="none"/>
        </w:rPr>
      </w:pPr>
      <w:bookmarkStart w:id="266" w:name="_Toc26176"/>
      <w:bookmarkStart w:id="267" w:name="_Toc17587"/>
      <w:bookmarkStart w:id="268" w:name="_Toc27460"/>
      <w:bookmarkStart w:id="269" w:name="_Toc2547"/>
      <w:bookmarkStart w:id="270" w:name="_Toc11140"/>
      <w:bookmarkStart w:id="271" w:name="_Toc53003185"/>
      <w:bookmarkStart w:id="272" w:name="_Toc23222"/>
      <w:r>
        <w:rPr>
          <w:rFonts w:hint="default" w:ascii="宋体" w:hAnsi="宋体"/>
          <w:color w:val="auto"/>
          <w:highlight w:val="none"/>
        </w:rPr>
        <w:t>第二节 大力发展绿色经济</w:t>
      </w:r>
      <w:bookmarkEnd w:id="266"/>
      <w:bookmarkEnd w:id="267"/>
      <w:bookmarkEnd w:id="268"/>
      <w:bookmarkEnd w:id="269"/>
      <w:bookmarkEnd w:id="270"/>
      <w:bookmarkEnd w:id="271"/>
      <w:bookmarkEnd w:id="272"/>
    </w:p>
    <w:p>
      <w:pPr>
        <w:bidi w:val="0"/>
        <w:rPr>
          <w:b w:val="0"/>
          <w:bCs w:val="0"/>
          <w:color w:val="auto"/>
          <w:highlight w:val="none"/>
        </w:rPr>
      </w:pPr>
      <w:r>
        <w:rPr>
          <w:rFonts w:hint="eastAsia"/>
          <w:b w:val="0"/>
          <w:bCs w:val="0"/>
          <w:color w:val="auto"/>
          <w:highlight w:val="none"/>
        </w:rPr>
        <w:t>统筹布局生态空间，推进重点行业和重要领域绿色化改造，倡导绿色低碳生活方式和消费模式，促进经济社会发展全面绿色转型。</w:t>
      </w:r>
    </w:p>
    <w:p>
      <w:pPr>
        <w:bidi w:val="0"/>
        <w:rPr>
          <w:rFonts w:ascii="仿宋" w:hAnsi="仿宋" w:cs="仿宋"/>
          <w:color w:val="auto"/>
          <w:highlight w:val="none"/>
        </w:rPr>
      </w:pPr>
      <w:r>
        <w:rPr>
          <w:b/>
          <w:bCs/>
          <w:color w:val="auto"/>
          <w:highlight w:val="none"/>
        </w:rPr>
        <w:t>推进散乱污企业整治</w:t>
      </w:r>
      <w:r>
        <w:rPr>
          <w:rFonts w:hint="eastAsia"/>
          <w:b/>
          <w:bCs/>
          <w:color w:val="auto"/>
          <w:highlight w:val="none"/>
          <w:lang w:eastAsia="zh-CN"/>
        </w:rPr>
        <w:t>。</w:t>
      </w:r>
      <w:r>
        <w:rPr>
          <w:rFonts w:hint="eastAsia" w:ascii="仿宋" w:hAnsi="仿宋" w:cs="仿宋"/>
          <w:color w:val="auto"/>
          <w:highlight w:val="none"/>
        </w:rPr>
        <w:t>全面排查不符合产业政策和产业布局规划、不能稳定达到排放标准、未依法办理相关审批或登记手续</w:t>
      </w:r>
      <w:r>
        <w:rPr>
          <w:rFonts w:hint="eastAsia" w:ascii="仿宋" w:hAnsi="仿宋" w:cs="仿宋"/>
          <w:color w:val="auto"/>
          <w:highlight w:val="none"/>
          <w:lang w:eastAsia="zh-CN"/>
        </w:rPr>
        <w:t>的</w:t>
      </w:r>
      <w:r>
        <w:rPr>
          <w:rFonts w:hint="eastAsia" w:ascii="仿宋" w:hAnsi="仿宋" w:cs="仿宋"/>
          <w:color w:val="auto"/>
          <w:highlight w:val="none"/>
        </w:rPr>
        <w:t>工业企业（场所）。推进城镇人口密集区不符合安全和卫生防护距离的危险化学品生产企业就地改造搬迁入园或关闭退出。严格落实淘汰落后产能的环保标准，实施污染物特别排放限值，综合运用差别化价格政策，加强环境执法与刑事司法联动。实施高污染、高耗能企业“煤改气”工程，坚决淘汰高污染高排放产业和企业。指导规模以上畜禽养殖企业完善并规范运行治污设施，确保大型畜禽养殖企业污染治理设施装备配套率达到</w:t>
      </w:r>
      <w:r>
        <w:rPr>
          <w:rFonts w:hint="eastAsia" w:ascii="Times New Roman" w:hAnsi="Times New Roman" w:cs="仿宋"/>
          <w:color w:val="auto"/>
          <w:highlight w:val="none"/>
          <w:lang w:eastAsia="zh-CN"/>
        </w:rPr>
        <w:t>100%</w:t>
      </w:r>
      <w:r>
        <w:rPr>
          <w:rFonts w:hint="eastAsia" w:ascii="仿宋" w:hAnsi="仿宋" w:cs="仿宋"/>
          <w:color w:val="auto"/>
          <w:highlight w:val="none"/>
        </w:rPr>
        <w:t>。</w:t>
      </w:r>
    </w:p>
    <w:p>
      <w:pPr>
        <w:bidi w:val="0"/>
        <w:rPr>
          <w:color w:val="auto"/>
          <w:highlight w:val="none"/>
        </w:rPr>
      </w:pPr>
      <w:r>
        <w:rPr>
          <w:b/>
          <w:bCs/>
          <w:color w:val="auto"/>
          <w:highlight w:val="none"/>
        </w:rPr>
        <w:t>构建绿色</w:t>
      </w:r>
      <w:r>
        <w:rPr>
          <w:rFonts w:hint="eastAsia"/>
          <w:b/>
          <w:bCs/>
          <w:color w:val="auto"/>
          <w:highlight w:val="none"/>
          <w:lang w:val="en-US" w:eastAsia="zh-CN"/>
        </w:rPr>
        <w:t>循环</w:t>
      </w:r>
      <w:r>
        <w:rPr>
          <w:b/>
          <w:bCs/>
          <w:color w:val="auto"/>
          <w:highlight w:val="none"/>
        </w:rPr>
        <w:t>体系</w:t>
      </w:r>
      <w:r>
        <w:rPr>
          <w:rFonts w:hint="eastAsia"/>
          <w:b/>
          <w:bCs/>
          <w:color w:val="auto"/>
          <w:highlight w:val="none"/>
          <w:lang w:eastAsia="zh-CN"/>
        </w:rPr>
        <w:t>。</w:t>
      </w:r>
      <w:r>
        <w:rPr>
          <w:color w:val="auto"/>
          <w:highlight w:val="none"/>
        </w:rPr>
        <w:t>推动全产业链和产品全生命周期绿色发展。实施一批绿色制造示范项目，推广企业应用物联网技术，减少资源消耗，发展绿色节能工业。推广绿色工艺技术和产品，全面推进建材、轻工等行业绿色化改造，加快先进节能环保技术、工艺和装备的研发和应用。实施清洁生产审核行动，推动重点行业提标改造。推进园区循环化改造升级，构建企业间循环连接的产业链条。</w:t>
      </w:r>
      <w:r>
        <w:rPr>
          <w:rFonts w:hint="eastAsia"/>
          <w:color w:val="auto"/>
          <w:highlight w:val="none"/>
          <w:lang w:val="en-US" w:eastAsia="zh-CN"/>
        </w:rPr>
        <w:t>推动</w:t>
      </w:r>
      <w:r>
        <w:rPr>
          <w:rFonts w:hint="eastAsia"/>
          <w:color w:val="auto"/>
          <w:highlight w:val="none"/>
        </w:rPr>
        <w:t>民用建筑</w:t>
      </w:r>
      <w:r>
        <w:rPr>
          <w:rFonts w:hint="eastAsia"/>
          <w:color w:val="auto"/>
          <w:highlight w:val="none"/>
          <w:lang w:val="en-US" w:eastAsia="zh-CN"/>
        </w:rPr>
        <w:t>按照</w:t>
      </w:r>
      <w:r>
        <w:rPr>
          <w:rFonts w:hint="eastAsia"/>
          <w:color w:val="auto"/>
          <w:highlight w:val="none"/>
        </w:rPr>
        <w:t>绿色建筑设计施工</w:t>
      </w:r>
      <w:r>
        <w:rPr>
          <w:rFonts w:hint="eastAsia"/>
          <w:color w:val="auto"/>
          <w:highlight w:val="none"/>
          <w:lang w:eastAsia="zh-CN"/>
        </w:rPr>
        <w:t>，</w:t>
      </w:r>
      <w:r>
        <w:rPr>
          <w:rFonts w:hint="eastAsia"/>
          <w:color w:val="auto"/>
          <w:highlight w:val="none"/>
          <w:lang w:val="en-US" w:eastAsia="zh-CN"/>
        </w:rPr>
        <w:t>鼓励</w:t>
      </w:r>
      <w:r>
        <w:rPr>
          <w:rFonts w:hint="eastAsia"/>
          <w:color w:val="auto"/>
          <w:highlight w:val="none"/>
        </w:rPr>
        <w:t>机关、学校、医院、文化体育馆、交通运输站和商业综合体等各类大型公共项目</w:t>
      </w:r>
      <w:r>
        <w:rPr>
          <w:rFonts w:hint="eastAsia"/>
          <w:color w:val="auto"/>
          <w:highlight w:val="none"/>
          <w:lang w:val="en-US" w:eastAsia="zh-CN"/>
        </w:rPr>
        <w:t>建设应用绿色建筑技术</w:t>
      </w:r>
      <w:r>
        <w:rPr>
          <w:rFonts w:hint="eastAsia"/>
          <w:color w:val="auto"/>
          <w:highlight w:val="none"/>
          <w:lang w:eastAsia="zh-CN"/>
        </w:rPr>
        <w:t>，</w:t>
      </w:r>
      <w:r>
        <w:rPr>
          <w:rFonts w:hint="eastAsia"/>
          <w:color w:val="auto"/>
          <w:highlight w:val="none"/>
        </w:rPr>
        <w:t>积极推广装配式混凝土建筑和装配式钢结构建筑。发展循环经济，引导企业提升废弃物循环利用水平。推进废旧物资循环利用，全面推进生活垃圾分类和减量化、资源化。</w:t>
      </w:r>
      <w:r>
        <w:rPr>
          <w:rFonts w:hint="eastAsia" w:ascii="仿宋" w:hAnsi="仿宋" w:cs="仿宋"/>
          <w:color w:val="auto"/>
          <w:highlight w:val="none"/>
        </w:rPr>
        <w:t>加强畜禽养殖废弃物资源化利用技术推广，推进种养结合和生态循环经济发展。</w:t>
      </w:r>
    </w:p>
    <w:p>
      <w:pPr>
        <w:pStyle w:val="4"/>
        <w:spacing w:before="62" w:after="62"/>
        <w:ind w:firstLine="0"/>
        <w:jc w:val="center"/>
        <w:rPr>
          <w:rFonts w:hint="default" w:ascii="宋体" w:hAnsi="宋体"/>
          <w:color w:val="auto"/>
          <w:highlight w:val="none"/>
        </w:rPr>
      </w:pPr>
      <w:bookmarkStart w:id="273" w:name="_Toc31331"/>
      <w:bookmarkStart w:id="274" w:name="_Toc12888"/>
      <w:bookmarkStart w:id="275" w:name="_Toc6334"/>
      <w:bookmarkStart w:id="276" w:name="_Toc10645"/>
      <w:bookmarkStart w:id="277" w:name="_Toc3881"/>
      <w:bookmarkStart w:id="278" w:name="_Toc11990"/>
      <w:bookmarkStart w:id="279" w:name="_Toc53003186"/>
      <w:r>
        <w:rPr>
          <w:rFonts w:hint="default" w:ascii="宋体" w:hAnsi="宋体"/>
          <w:color w:val="auto"/>
          <w:highlight w:val="none"/>
        </w:rPr>
        <w:t>第三节 建设生态宜居环境</w:t>
      </w:r>
      <w:bookmarkEnd w:id="273"/>
      <w:bookmarkEnd w:id="274"/>
      <w:bookmarkEnd w:id="275"/>
      <w:bookmarkEnd w:id="276"/>
      <w:bookmarkEnd w:id="277"/>
      <w:bookmarkEnd w:id="278"/>
      <w:bookmarkEnd w:id="279"/>
    </w:p>
    <w:p>
      <w:pPr>
        <w:bidi w:val="0"/>
        <w:rPr>
          <w:b w:val="0"/>
          <w:bCs w:val="0"/>
          <w:color w:val="auto"/>
          <w:highlight w:val="none"/>
        </w:rPr>
      </w:pPr>
      <w:r>
        <w:rPr>
          <w:rFonts w:hint="eastAsia"/>
          <w:color w:val="auto"/>
          <w:highlight w:val="none"/>
        </w:rPr>
        <w:t>严守生态保护红线</w:t>
      </w:r>
      <w:r>
        <w:rPr>
          <w:rFonts w:hint="eastAsia"/>
          <w:color w:val="auto"/>
          <w:highlight w:val="none"/>
          <w:lang w:eastAsia="zh-CN"/>
        </w:rPr>
        <w:t>，</w:t>
      </w:r>
      <w:r>
        <w:rPr>
          <w:rFonts w:hint="eastAsia"/>
          <w:b w:val="0"/>
          <w:bCs w:val="0"/>
          <w:color w:val="auto"/>
          <w:highlight w:val="none"/>
        </w:rPr>
        <w:t>强化陆海统筹、上下联动、多方协同共治的治理新模式，加强</w:t>
      </w:r>
      <w:r>
        <w:rPr>
          <w:rFonts w:hint="eastAsia"/>
          <w:b w:val="0"/>
          <w:bCs w:val="0"/>
          <w:color w:val="auto"/>
          <w:highlight w:val="none"/>
          <w:lang w:val="en-US" w:eastAsia="zh-CN"/>
        </w:rPr>
        <w:t>生态文明建设，构建多元共治的现代环境治理体系。</w:t>
      </w:r>
    </w:p>
    <w:p>
      <w:pPr>
        <w:bidi w:val="0"/>
        <w:rPr>
          <w:color w:val="auto"/>
          <w:highlight w:val="none"/>
        </w:rPr>
      </w:pPr>
      <w:r>
        <w:rPr>
          <w:b/>
          <w:bCs/>
          <w:color w:val="auto"/>
          <w:highlight w:val="none"/>
        </w:rPr>
        <w:t>改善城乡人居环境</w:t>
      </w:r>
      <w:r>
        <w:rPr>
          <w:rFonts w:hint="eastAsia"/>
          <w:b/>
          <w:bCs/>
          <w:color w:val="auto"/>
          <w:highlight w:val="none"/>
          <w:lang w:eastAsia="zh-CN"/>
        </w:rPr>
        <w:t>。</w:t>
      </w:r>
      <w:r>
        <w:rPr>
          <w:color w:val="auto"/>
          <w:highlight w:val="none"/>
        </w:rPr>
        <w:t>全面开展垃圾分类试点工作，加强宣传动员，注重氛围营造，不断提高居民群众环保意识和生态文明。加快全域农村人居环境整治项目的推进，大力打击</w:t>
      </w:r>
      <w:r>
        <w:rPr>
          <w:rFonts w:hint="eastAsia"/>
          <w:color w:val="auto"/>
          <w:highlight w:val="none"/>
        </w:rPr>
        <w:t>“</w:t>
      </w:r>
      <w:r>
        <w:rPr>
          <w:color w:val="auto"/>
          <w:highlight w:val="none"/>
        </w:rPr>
        <w:t>两违</w:t>
      </w:r>
      <w:r>
        <w:rPr>
          <w:rFonts w:hint="eastAsia"/>
          <w:color w:val="auto"/>
          <w:highlight w:val="none"/>
        </w:rPr>
        <w:t>”</w:t>
      </w:r>
      <w:r>
        <w:rPr>
          <w:color w:val="auto"/>
          <w:highlight w:val="none"/>
        </w:rPr>
        <w:t>行为。持续开展</w:t>
      </w:r>
      <w:r>
        <w:rPr>
          <w:rFonts w:hint="eastAsia"/>
          <w:color w:val="auto"/>
          <w:highlight w:val="none"/>
        </w:rPr>
        <w:t>“</w:t>
      </w:r>
      <w:r>
        <w:rPr>
          <w:color w:val="auto"/>
          <w:highlight w:val="none"/>
        </w:rPr>
        <w:t>三清理三拆除三整治</w:t>
      </w:r>
      <w:r>
        <w:rPr>
          <w:rFonts w:hint="eastAsia"/>
          <w:color w:val="auto"/>
          <w:highlight w:val="none"/>
        </w:rPr>
        <w:t>”</w:t>
      </w:r>
      <w:r>
        <w:rPr>
          <w:color w:val="auto"/>
          <w:highlight w:val="none"/>
        </w:rPr>
        <w:t>行动，确保整治成效不返潮。</w:t>
      </w:r>
      <w:r>
        <w:rPr>
          <w:rFonts w:hint="eastAsia" w:ascii="仿宋_GB2312" w:hAnsi="仿宋_GB2312" w:cs="仿宋_GB2312"/>
          <w:color w:val="auto"/>
          <w:spacing w:val="-2"/>
          <w:kern w:val="32"/>
          <w:szCs w:val="32"/>
          <w:highlight w:val="none"/>
        </w:rPr>
        <w:t>开展新一轮国土绿化行动，推行林长制，推动森林生态系统高质量发展，推进国家森林城市创建工作。大力构筑城乡绿色空间，推进城市公园和绿地建设，高质量建设南调河</w:t>
      </w:r>
      <w:r>
        <w:rPr>
          <w:rFonts w:hint="eastAsia" w:ascii="仿宋_GB2312" w:hAnsi="仿宋_GB2312" w:cs="仿宋_GB2312"/>
          <w:color w:val="auto"/>
          <w:spacing w:val="-2"/>
          <w:kern w:val="32"/>
          <w:szCs w:val="32"/>
          <w:highlight w:val="none"/>
          <w:lang w:val="en-US" w:eastAsia="zh-CN"/>
        </w:rPr>
        <w:t>综合整治</w:t>
      </w:r>
      <w:r>
        <w:rPr>
          <w:rFonts w:hint="eastAsia" w:ascii="仿宋_GB2312" w:hAnsi="仿宋_GB2312" w:cs="仿宋_GB2312"/>
          <w:color w:val="auto"/>
          <w:spacing w:val="-2"/>
          <w:kern w:val="32"/>
          <w:szCs w:val="32"/>
          <w:highlight w:val="none"/>
        </w:rPr>
        <w:t>碧道工程。</w:t>
      </w:r>
      <w:r>
        <w:rPr>
          <w:color w:val="auto"/>
          <w:highlight w:val="none"/>
        </w:rPr>
        <w:t>加大对城区主街道及居民小区的城市硬化、绿化、亮化力度，提高城区亮丽工程建设档次，营造</w:t>
      </w:r>
      <w:r>
        <w:rPr>
          <w:rFonts w:hint="eastAsia"/>
          <w:color w:val="auto"/>
          <w:highlight w:val="none"/>
        </w:rPr>
        <w:t>“</w:t>
      </w:r>
      <w:r>
        <w:rPr>
          <w:color w:val="auto"/>
          <w:highlight w:val="none"/>
        </w:rPr>
        <w:t>洁、亮、绿</w:t>
      </w:r>
      <w:r>
        <w:rPr>
          <w:rFonts w:hint="eastAsia"/>
          <w:color w:val="auto"/>
          <w:highlight w:val="none"/>
        </w:rPr>
        <w:t>”</w:t>
      </w:r>
      <w:r>
        <w:rPr>
          <w:color w:val="auto"/>
          <w:highlight w:val="none"/>
        </w:rPr>
        <w:t>的城市环境。</w:t>
      </w:r>
    </w:p>
    <w:p>
      <w:pPr>
        <w:bidi w:val="0"/>
        <w:rPr>
          <w:color w:val="auto"/>
          <w:highlight w:val="none"/>
        </w:rPr>
      </w:pPr>
      <w:r>
        <w:rPr>
          <w:b/>
          <w:bCs/>
          <w:color w:val="auto"/>
          <w:highlight w:val="none"/>
        </w:rPr>
        <w:t>切实保障区域环境安全</w:t>
      </w:r>
      <w:r>
        <w:rPr>
          <w:rFonts w:hint="eastAsia"/>
          <w:b/>
          <w:bCs/>
          <w:color w:val="auto"/>
          <w:highlight w:val="none"/>
          <w:lang w:eastAsia="zh-CN"/>
        </w:rPr>
        <w:t>。</w:t>
      </w:r>
      <w:r>
        <w:rPr>
          <w:rFonts w:hint="eastAsia"/>
          <w:color w:val="auto"/>
          <w:highlight w:val="none"/>
        </w:rPr>
        <w:t>健全自然资源资产产权制度，建立生态产品价值实现机制。严守生态保护红线、永久基本农田、城镇开发边界等空间管制控制线，实施以“三线一单”为核心的生态环境分区管控体系。推进自然资源要素市场化，完善资源要素价格形成机制。</w:t>
      </w:r>
      <w:r>
        <w:rPr>
          <w:color w:val="auto"/>
          <w:highlight w:val="none"/>
        </w:rPr>
        <w:t>全力推进环保督察整改落到实处，积极做好饮用水源保护、港湾污染防治，完善排污许可证制度建设，积极落实环保督察、海洋</w:t>
      </w:r>
      <w:r>
        <w:rPr>
          <w:rFonts w:hint="eastAsia"/>
          <w:color w:val="auto"/>
          <w:highlight w:val="none"/>
          <w:lang w:val="en-US" w:eastAsia="zh-CN"/>
        </w:rPr>
        <w:t>督察</w:t>
      </w:r>
      <w:r>
        <w:rPr>
          <w:color w:val="auto"/>
          <w:highlight w:val="none"/>
        </w:rPr>
        <w:t>、审计反馈意见整改，加强整改和监管，确保不出现类似生态环境问题。积极落实建设项目事中事后环境监管。严格执行环境执法</w:t>
      </w:r>
      <w:r>
        <w:rPr>
          <w:rFonts w:hint="eastAsia"/>
          <w:color w:val="auto"/>
          <w:highlight w:val="none"/>
        </w:rPr>
        <w:t>“</w:t>
      </w:r>
      <w:r>
        <w:rPr>
          <w:color w:val="auto"/>
          <w:highlight w:val="none"/>
        </w:rPr>
        <w:t>双随机</w:t>
      </w:r>
      <w:r>
        <w:rPr>
          <w:rFonts w:hint="eastAsia"/>
          <w:color w:val="auto"/>
          <w:highlight w:val="none"/>
        </w:rPr>
        <w:t>”</w:t>
      </w:r>
      <w:r>
        <w:rPr>
          <w:color w:val="auto"/>
          <w:highlight w:val="none"/>
        </w:rPr>
        <w:t>制度，加大执法力度。加强环境不稳定因素的排查，督促企业落实隐患整改，预防各类突发环境事件。</w:t>
      </w:r>
    </w:p>
    <w:tbl>
      <w:tblPr>
        <w:tblStyle w:val="14"/>
        <w:tblpPr w:leftFromText="180" w:rightFromText="180" w:vertAnchor="text" w:horzAnchor="margin" w:tblpXSpec="center" w:tblpY="314"/>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657" w:type="dxa"/>
            <w:noWrap w:val="0"/>
            <w:vAlign w:val="center"/>
          </w:tcPr>
          <w:p>
            <w:pPr>
              <w:widowControl w:val="0"/>
              <w:spacing w:line="240" w:lineRule="auto"/>
              <w:ind w:firstLine="0" w:firstLineChars="0"/>
              <w:jc w:val="center"/>
              <w:textAlignment w:val="auto"/>
              <w:rPr>
                <w:rFonts w:ascii="Calibri" w:hAnsi="Calibri" w:eastAsia="宋体" w:cs="Times New Roman"/>
                <w:b/>
                <w:color w:val="auto"/>
                <w:kern w:val="2"/>
                <w:sz w:val="24"/>
                <w:szCs w:val="24"/>
                <w:highlight w:val="none"/>
              </w:rPr>
            </w:pPr>
            <w:r>
              <w:rPr>
                <w:rFonts w:ascii="Times New Roman" w:hAnsi="Times New Roman" w:eastAsia="宋体" w:cs="Times New Roman"/>
                <w:b/>
                <w:color w:val="auto"/>
                <w:kern w:val="2"/>
                <w:sz w:val="28"/>
                <w:szCs w:val="28"/>
                <w:highlight w:val="none"/>
              </w:rPr>
              <w:t>专栏</w:t>
            </w:r>
            <w:r>
              <w:rPr>
                <w:rFonts w:hint="eastAsia" w:ascii="Times New Roman" w:hAnsi="Times New Roman" w:eastAsia="宋体" w:cs="Times New Roman"/>
                <w:b/>
                <w:color w:val="auto"/>
                <w:kern w:val="2"/>
                <w:sz w:val="28"/>
                <w:szCs w:val="28"/>
                <w:highlight w:val="none"/>
                <w:lang w:val="en-US" w:eastAsia="zh-CN"/>
              </w:rPr>
              <w:t>9</w:t>
            </w:r>
            <w:r>
              <w:rPr>
                <w:rFonts w:hint="eastAsia" w:ascii="Times New Roman" w:hAnsi="Times New Roman" w:eastAsia="宋体" w:cs="Times New Roman"/>
                <w:b/>
                <w:color w:val="auto"/>
                <w:kern w:val="2"/>
                <w:sz w:val="28"/>
                <w:szCs w:val="28"/>
                <w:highlight w:val="none"/>
              </w:rPr>
              <w:t>：</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十四五</w:t>
            </w:r>
            <w:r>
              <w:rPr>
                <w:rFonts w:ascii="仿宋" w:hAnsi="仿宋" w:eastAsia="仿宋" w:cs="Times New Roman"/>
                <w:b/>
                <w:color w:val="auto"/>
                <w:kern w:val="2"/>
                <w:sz w:val="28"/>
                <w:szCs w:val="28"/>
                <w:highlight w:val="none"/>
              </w:rPr>
              <w:t>”</w:t>
            </w:r>
            <w:r>
              <w:rPr>
                <w:rFonts w:ascii="Times New Roman" w:hAnsi="Times New Roman" w:eastAsia="宋体" w:cs="Times New Roman"/>
                <w:b/>
                <w:color w:val="auto"/>
                <w:kern w:val="2"/>
                <w:sz w:val="28"/>
                <w:szCs w:val="28"/>
                <w:highlight w:val="none"/>
              </w:rPr>
              <w:t>时期</w:t>
            </w:r>
            <w:r>
              <w:rPr>
                <w:rFonts w:hint="eastAsia" w:eastAsia="宋体" w:cs="Times New Roman"/>
                <w:b/>
                <w:color w:val="auto"/>
                <w:kern w:val="2"/>
                <w:sz w:val="28"/>
                <w:szCs w:val="28"/>
                <w:highlight w:val="none"/>
                <w:lang w:val="en-US" w:eastAsia="zh-CN"/>
              </w:rPr>
              <w:t>坡头</w:t>
            </w:r>
            <w:r>
              <w:rPr>
                <w:rFonts w:hint="eastAsia" w:ascii="Times New Roman" w:hAnsi="Times New Roman" w:eastAsia="宋体" w:cs="Times New Roman"/>
                <w:b/>
                <w:color w:val="auto"/>
                <w:kern w:val="2"/>
                <w:sz w:val="28"/>
                <w:szCs w:val="28"/>
                <w:highlight w:val="none"/>
                <w:lang w:val="en-US" w:eastAsia="zh-CN"/>
              </w:rPr>
              <w:t>区</w:t>
            </w:r>
            <w:r>
              <w:rPr>
                <w:rFonts w:hint="eastAsia" w:eastAsia="宋体" w:cs="Times New Roman"/>
                <w:b/>
                <w:color w:val="auto"/>
                <w:kern w:val="2"/>
                <w:sz w:val="28"/>
                <w:szCs w:val="28"/>
                <w:highlight w:val="none"/>
                <w:lang w:val="en-US" w:eastAsia="zh-CN"/>
              </w:rPr>
              <w:t>生态环保</w:t>
            </w:r>
            <w:r>
              <w:rPr>
                <w:rFonts w:ascii="Times New Roman" w:hAnsi="Times New Roman" w:eastAsia="宋体" w:cs="Times New Roman"/>
                <w:b/>
                <w:color w:val="auto"/>
                <w:kern w:val="2"/>
                <w:sz w:val="28"/>
                <w:szCs w:val="28"/>
                <w:highlight w:val="none"/>
              </w:rPr>
              <w:t>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8657" w:type="dxa"/>
            <w:noWrap w:val="0"/>
            <w:vAlign w:val="top"/>
          </w:tcPr>
          <w:p>
            <w:pPr>
              <w:widowControl w:val="0"/>
              <w:spacing w:line="400" w:lineRule="exact"/>
              <w:ind w:left="0" w:leftChars="0" w:firstLine="0" w:firstLineChars="0"/>
              <w:jc w:val="left"/>
              <w:textAlignment w:val="auto"/>
              <w:rPr>
                <w:rFonts w:hint="eastAsia" w:ascii="宋体" w:hAnsi="宋体" w:eastAsia="宋体" w:cs="宋体"/>
                <w:color w:val="auto"/>
                <w:kern w:val="2"/>
                <w:sz w:val="24"/>
                <w:szCs w:val="24"/>
                <w:highlight w:val="none"/>
                <w:lang w:val="en-US" w:eastAsia="zh-CN"/>
              </w:rPr>
            </w:pPr>
            <w:r>
              <w:rPr>
                <w:rFonts w:hint="eastAsia" w:ascii="Times New Roman" w:hAnsi="Times New Roman" w:eastAsia="宋体" w:cs="宋体"/>
                <w:b/>
                <w:bCs/>
                <w:color w:val="auto"/>
                <w:kern w:val="2"/>
                <w:sz w:val="24"/>
                <w:szCs w:val="24"/>
                <w:highlight w:val="none"/>
                <w:lang w:val="en-US" w:eastAsia="zh-CN"/>
              </w:rPr>
              <w:t>1.</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供水水质提升项目：</w:t>
            </w:r>
            <w:r>
              <w:rPr>
                <w:rFonts w:hint="eastAsia" w:ascii="宋体" w:hAnsi="宋体" w:eastAsia="宋体" w:cs="宋体"/>
                <w:color w:val="auto"/>
                <w:kern w:val="2"/>
                <w:sz w:val="24"/>
                <w:szCs w:val="24"/>
                <w:highlight w:val="none"/>
              </w:rPr>
              <w:t>重点建设</w:t>
            </w:r>
            <w:r>
              <w:rPr>
                <w:rFonts w:hint="eastAsia" w:ascii="宋体" w:hAnsi="宋体" w:eastAsia="宋体" w:cs="宋体"/>
                <w:color w:val="auto"/>
                <w:kern w:val="2"/>
                <w:sz w:val="24"/>
                <w:szCs w:val="24"/>
                <w:highlight w:val="none"/>
                <w:lang w:val="en-US" w:eastAsia="zh-CN"/>
              </w:rPr>
              <w:t>海东新区水质净化厂及配套管网项目、麻斜社区到污水处理厂背街小巷城区排污系统建设工程项目、坡头镇区污水管网工程项目、南三镇巴东圩、白沙圩污水处理设施及配套管网建设、南三镇污水处理设施及配套管网建设以及乾塘镇、官渡镇、龙头镇污水管网建设，</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Times New Roman"/>
                <w:color w:val="auto"/>
                <w:kern w:val="2"/>
                <w:sz w:val="24"/>
                <w:szCs w:val="24"/>
                <w:highlight w:val="none"/>
                <w:lang w:val="en-US" w:eastAsia="zh-CN"/>
              </w:rPr>
              <w:t>10</w:t>
            </w:r>
            <w:r>
              <w:rPr>
                <w:rFonts w:hint="eastAsia" w:ascii="宋体" w:hAnsi="宋体" w:eastAsia="宋体" w:cs="宋体"/>
                <w:color w:val="auto"/>
                <w:kern w:val="2"/>
                <w:sz w:val="24"/>
                <w:szCs w:val="24"/>
                <w:highlight w:val="none"/>
              </w:rPr>
              <w:t>亿元。</w:t>
            </w:r>
          </w:p>
          <w:p>
            <w:pPr>
              <w:widowControl w:val="0"/>
              <w:spacing w:line="400" w:lineRule="exact"/>
              <w:ind w:left="0" w:leftChars="0" w:firstLine="0" w:firstLineChars="0"/>
              <w:jc w:val="left"/>
              <w:textAlignment w:val="auto"/>
              <w:rPr>
                <w:rFonts w:hint="default" w:ascii="宋体" w:hAnsi="宋体" w:eastAsia="宋体" w:cs="宋体"/>
                <w:color w:val="auto"/>
                <w:kern w:val="2"/>
                <w:sz w:val="24"/>
                <w:szCs w:val="24"/>
                <w:highlight w:val="none"/>
                <w:lang w:val="en-US"/>
              </w:rPr>
            </w:pPr>
            <w:r>
              <w:rPr>
                <w:rFonts w:hint="eastAsia" w:ascii="Times New Roman" w:hAnsi="Times New Roman" w:eastAsia="宋体" w:cs="宋体"/>
                <w:b/>
                <w:bCs/>
                <w:color w:val="auto"/>
                <w:kern w:val="2"/>
                <w:sz w:val="24"/>
                <w:szCs w:val="24"/>
                <w:highlight w:val="none"/>
                <w:lang w:val="en-US" w:eastAsia="zh-CN"/>
              </w:rPr>
              <w:t>2.</w:t>
            </w:r>
            <w:r>
              <w:rPr>
                <w:rFonts w:hint="eastAsia" w:eastAsia="宋体" w:cs="宋体"/>
                <w:b/>
                <w:bCs/>
                <w:color w:val="auto"/>
                <w:kern w:val="2"/>
                <w:sz w:val="24"/>
                <w:szCs w:val="24"/>
                <w:highlight w:val="none"/>
                <w:lang w:val="en-US" w:eastAsia="zh-CN"/>
              </w:rPr>
              <w:t xml:space="preserve"> </w:t>
            </w:r>
            <w:r>
              <w:rPr>
                <w:rFonts w:hint="eastAsia" w:ascii="宋体" w:hAnsi="宋体" w:eastAsia="宋体" w:cs="宋体"/>
                <w:b/>
                <w:bCs/>
                <w:color w:val="auto"/>
                <w:kern w:val="2"/>
                <w:sz w:val="24"/>
                <w:szCs w:val="24"/>
                <w:highlight w:val="none"/>
                <w:lang w:val="en-US" w:eastAsia="zh-CN"/>
              </w:rPr>
              <w:t>海洋生态水利项目：</w:t>
            </w:r>
            <w:r>
              <w:rPr>
                <w:rFonts w:hint="eastAsia" w:ascii="宋体" w:hAnsi="宋体" w:eastAsia="宋体" w:cs="宋体"/>
                <w:color w:val="auto"/>
                <w:kern w:val="2"/>
                <w:sz w:val="24"/>
                <w:szCs w:val="24"/>
                <w:highlight w:val="none"/>
              </w:rPr>
              <w:t>重点建设</w:t>
            </w:r>
            <w:r>
              <w:rPr>
                <w:rFonts w:hint="eastAsia" w:ascii="宋体" w:hAnsi="宋体" w:eastAsia="宋体" w:cs="宋体"/>
                <w:color w:val="auto"/>
                <w:kern w:val="2"/>
                <w:sz w:val="24"/>
                <w:szCs w:val="24"/>
                <w:highlight w:val="none"/>
                <w:lang w:val="en-US" w:eastAsia="zh-CN"/>
              </w:rPr>
              <w:t>官渡挡潮排水闸项目、坡头区南禾联围海堤加固达标工程项目、坡头区北马围海堤海儿新堤建设工程项目、南三联围海堤沙头段建设工程项目、坡头区巴林联围海堤加工达标工程项目，</w:t>
            </w:r>
            <w:r>
              <w:rPr>
                <w:rFonts w:hint="eastAsia" w:ascii="宋体" w:hAnsi="宋体" w:eastAsia="宋体" w:cs="宋体"/>
                <w:color w:val="auto"/>
                <w:kern w:val="2"/>
                <w:sz w:val="24"/>
                <w:szCs w:val="24"/>
                <w:highlight w:val="none"/>
              </w:rPr>
              <w:t>“十四五”时期投资</w:t>
            </w:r>
            <w:r>
              <w:rPr>
                <w:rFonts w:hint="eastAsia" w:ascii="Times New Roman" w:hAnsi="Times New Roman" w:eastAsia="宋体" w:cs="宋体"/>
                <w:color w:val="auto"/>
                <w:kern w:val="2"/>
                <w:sz w:val="24"/>
                <w:szCs w:val="24"/>
                <w:highlight w:val="none"/>
                <w:lang w:val="en-US" w:eastAsia="zh-CN"/>
              </w:rPr>
              <w:t>7.</w:t>
            </w:r>
            <w:r>
              <w:rPr>
                <w:rFonts w:hint="eastAsia" w:ascii="Times New Roman" w:hAnsi="Times New Roman" w:eastAsia="宋体" w:cs="Times New Roman"/>
                <w:color w:val="auto"/>
                <w:kern w:val="2"/>
                <w:sz w:val="24"/>
                <w:szCs w:val="24"/>
                <w:highlight w:val="none"/>
                <w:lang w:val="en-US" w:eastAsia="zh-CN"/>
              </w:rPr>
              <w:t>5</w:t>
            </w:r>
            <w:r>
              <w:rPr>
                <w:rFonts w:hint="eastAsia" w:ascii="宋体" w:hAnsi="宋体" w:eastAsia="宋体" w:cs="宋体"/>
                <w:color w:val="auto"/>
                <w:kern w:val="2"/>
                <w:sz w:val="24"/>
                <w:szCs w:val="24"/>
                <w:highlight w:val="none"/>
              </w:rPr>
              <w:t>亿元。</w:t>
            </w:r>
          </w:p>
        </w:tc>
      </w:tr>
    </w:tbl>
    <w:p>
      <w:pPr>
        <w:pStyle w:val="2"/>
        <w:rPr>
          <w:color w:val="auto"/>
          <w:highlight w:val="none"/>
        </w:rPr>
      </w:pPr>
    </w:p>
    <w:p>
      <w:pPr>
        <w:pStyle w:val="2"/>
        <w:ind w:firstLine="480"/>
        <w:rPr>
          <w:color w:val="auto"/>
          <w:highlight w:val="none"/>
        </w:rPr>
      </w:pP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280" w:name="_Toc15749"/>
      <w:bookmarkStart w:id="281" w:name="_Toc28846"/>
      <w:bookmarkStart w:id="282" w:name="_Toc16162"/>
      <w:bookmarkStart w:id="283" w:name="_Toc27009"/>
      <w:bookmarkStart w:id="284" w:name="_Toc53003197"/>
      <w:bookmarkStart w:id="285" w:name="_Toc11121"/>
      <w:bookmarkStart w:id="286" w:name="_Toc524"/>
      <w:r>
        <w:rPr>
          <w:color w:val="auto"/>
          <w:highlight w:val="none"/>
        </w:rPr>
        <w:t>第十</w:t>
      </w:r>
      <w:r>
        <w:rPr>
          <w:rFonts w:hint="eastAsia"/>
          <w:color w:val="auto"/>
          <w:highlight w:val="none"/>
        </w:rPr>
        <w:t>一</w:t>
      </w:r>
      <w:r>
        <w:rPr>
          <w:color w:val="auto"/>
          <w:highlight w:val="none"/>
        </w:rPr>
        <w:t xml:space="preserve">章  </w:t>
      </w:r>
      <w:bookmarkEnd w:id="280"/>
      <w:bookmarkEnd w:id="281"/>
      <w:bookmarkEnd w:id="282"/>
      <w:bookmarkEnd w:id="283"/>
      <w:bookmarkEnd w:id="284"/>
      <w:bookmarkEnd w:id="285"/>
      <w:r>
        <w:rPr>
          <w:rFonts w:hint="eastAsia"/>
          <w:color w:val="auto"/>
          <w:highlight w:val="none"/>
        </w:rPr>
        <w:t>促进普惠共享 实现民生福祉新改善</w:t>
      </w:r>
      <w:bookmarkEnd w:id="286"/>
    </w:p>
    <w:p>
      <w:pPr>
        <w:ind w:firstLine="640"/>
        <w:rPr>
          <w:color w:val="auto"/>
          <w:highlight w:val="none"/>
        </w:rPr>
      </w:pPr>
      <w:r>
        <w:rPr>
          <w:color w:val="auto"/>
          <w:highlight w:val="none"/>
        </w:rPr>
        <w:t>健全基本公共服务体系，逐步扩大多领域、多层次、多元化的公共服务供给，提高基本公共服务保障能力和均等化水平，不断增强人民群众获得感、幸福感、安全感，推动民生建设迈上新台阶。</w:t>
      </w:r>
    </w:p>
    <w:p>
      <w:pPr>
        <w:pStyle w:val="4"/>
        <w:spacing w:before="62" w:after="62"/>
        <w:ind w:firstLine="0"/>
        <w:jc w:val="center"/>
        <w:rPr>
          <w:rFonts w:hint="default" w:ascii="宋体" w:hAnsi="宋体"/>
          <w:color w:val="auto"/>
          <w:highlight w:val="none"/>
        </w:rPr>
      </w:pPr>
      <w:bookmarkStart w:id="287" w:name="_Toc11408"/>
      <w:r>
        <w:rPr>
          <w:rFonts w:hint="default" w:ascii="宋体" w:hAnsi="宋体"/>
          <w:color w:val="auto"/>
          <w:highlight w:val="none"/>
        </w:rPr>
        <w:t>第一节 提高就业质量和居民收入水平</w:t>
      </w:r>
      <w:bookmarkEnd w:id="287"/>
    </w:p>
    <w:p>
      <w:pPr>
        <w:ind w:firstLine="640"/>
        <w:rPr>
          <w:color w:val="auto"/>
          <w:highlight w:val="none"/>
        </w:rPr>
      </w:pPr>
      <w:r>
        <w:rPr>
          <w:color w:val="auto"/>
          <w:highlight w:val="none"/>
        </w:rPr>
        <w:t>千方百计稳定和扩大就业，坚持经济发展就业导向，扩大就业容量，提升就业质量，促进充分就业，提高居民收入水平。</w:t>
      </w:r>
    </w:p>
    <w:p>
      <w:pPr>
        <w:bidi w:val="0"/>
        <w:rPr>
          <w:color w:val="auto"/>
          <w:highlight w:val="none"/>
        </w:rPr>
      </w:pPr>
      <w:r>
        <w:rPr>
          <w:b/>
          <w:bCs/>
          <w:color w:val="auto"/>
          <w:highlight w:val="none"/>
        </w:rPr>
        <w:t>稳定与扩大就业</w:t>
      </w:r>
      <w:r>
        <w:rPr>
          <w:rFonts w:hint="eastAsia"/>
          <w:b/>
          <w:bCs/>
          <w:color w:val="auto"/>
          <w:highlight w:val="none"/>
          <w:lang w:eastAsia="zh-CN"/>
        </w:rPr>
        <w:t>。</w:t>
      </w:r>
      <w:r>
        <w:rPr>
          <w:color w:val="auto"/>
          <w:highlight w:val="none"/>
        </w:rPr>
        <w:t>严格落实国家、省、市关于进一步促进充分就业创业有关政策，实施更加有利于促进就业创业的扶持政策。实施返乡创业能力提升行动与农村青年致富带头人培养计划，提升返乡创业群体创业能力，引导农业与旅游、康养、休闲产业融合发展，带动农村劳动力就近就地就业。突出抓好重点群体就业，加大高校毕业生就业帮扶力度，采取政府购买公益性岗位等措施，对城镇零就业家庭、困难家庭高校毕业生等实施托底安置，确保城镇零就业家庭动态清零；实施农民工</w:t>
      </w:r>
      <w:r>
        <w:rPr>
          <w:rFonts w:hint="eastAsia" w:ascii="仿宋" w:hAnsi="仿宋" w:eastAsia="仿宋" w:cs="仿宋"/>
          <w:color w:val="auto"/>
          <w:highlight w:val="none"/>
        </w:rPr>
        <w:t>、退役军人、建档立卡贫困人口、残疾人等重点群体专项培训计划。</w:t>
      </w:r>
    </w:p>
    <w:p>
      <w:pPr>
        <w:bidi w:val="0"/>
        <w:rPr>
          <w:color w:val="auto"/>
          <w:highlight w:val="none"/>
        </w:rPr>
      </w:pPr>
      <w:r>
        <w:rPr>
          <w:b/>
          <w:bCs/>
          <w:color w:val="auto"/>
          <w:highlight w:val="none"/>
        </w:rPr>
        <w:t>加大技能培训力度</w:t>
      </w:r>
      <w:r>
        <w:rPr>
          <w:rFonts w:hint="eastAsia"/>
          <w:b/>
          <w:bCs/>
          <w:color w:val="auto"/>
          <w:highlight w:val="none"/>
          <w:lang w:eastAsia="zh-CN"/>
        </w:rPr>
        <w:t>。</w:t>
      </w:r>
      <w:r>
        <w:rPr>
          <w:color w:val="auto"/>
          <w:highlight w:val="none"/>
        </w:rPr>
        <w:t>以打造坡头品牌为目标，大力推进全区技能人才发展。实施</w:t>
      </w:r>
      <w:r>
        <w:rPr>
          <w:rFonts w:hint="eastAsia"/>
          <w:color w:val="auto"/>
          <w:highlight w:val="none"/>
        </w:rPr>
        <w:t>“</w:t>
      </w:r>
      <w:r>
        <w:rPr>
          <w:color w:val="auto"/>
          <w:highlight w:val="none"/>
        </w:rPr>
        <w:t>农村电商</w:t>
      </w:r>
      <w:r>
        <w:rPr>
          <w:rFonts w:hint="eastAsia"/>
          <w:color w:val="auto"/>
          <w:highlight w:val="none"/>
        </w:rPr>
        <w:t>”“</w:t>
      </w:r>
      <w:r>
        <w:rPr>
          <w:color w:val="auto"/>
          <w:highlight w:val="none"/>
        </w:rPr>
        <w:t>乡村工匠</w:t>
      </w:r>
      <w:r>
        <w:rPr>
          <w:rFonts w:hint="eastAsia"/>
          <w:color w:val="auto"/>
          <w:highlight w:val="none"/>
        </w:rPr>
        <w:t>”</w:t>
      </w:r>
      <w:r>
        <w:rPr>
          <w:color w:val="auto"/>
          <w:highlight w:val="none"/>
        </w:rPr>
        <w:t>重点行动，加大</w:t>
      </w:r>
      <w:r>
        <w:rPr>
          <w:rFonts w:hint="eastAsia"/>
          <w:color w:val="auto"/>
          <w:highlight w:val="none"/>
        </w:rPr>
        <w:t>“</w:t>
      </w:r>
      <w:r>
        <w:rPr>
          <w:color w:val="auto"/>
          <w:highlight w:val="none"/>
        </w:rPr>
        <w:t>粤菜师傅</w:t>
      </w:r>
      <w:r>
        <w:rPr>
          <w:rFonts w:hint="eastAsia"/>
          <w:color w:val="auto"/>
          <w:highlight w:val="none"/>
        </w:rPr>
        <w:t>”“</w:t>
      </w:r>
      <w:r>
        <w:rPr>
          <w:color w:val="auto"/>
          <w:highlight w:val="none"/>
        </w:rPr>
        <w:t>广东技工</w:t>
      </w:r>
      <w:r>
        <w:rPr>
          <w:rFonts w:hint="eastAsia"/>
          <w:color w:val="auto"/>
          <w:highlight w:val="none"/>
        </w:rPr>
        <w:t>”“</w:t>
      </w:r>
      <w:r>
        <w:rPr>
          <w:color w:val="auto"/>
          <w:highlight w:val="none"/>
        </w:rPr>
        <w:t>南粤家政</w:t>
      </w:r>
      <w:r>
        <w:rPr>
          <w:rFonts w:hint="eastAsia"/>
          <w:color w:val="auto"/>
          <w:highlight w:val="none"/>
        </w:rPr>
        <w:t>”</w:t>
      </w:r>
      <w:r>
        <w:rPr>
          <w:color w:val="auto"/>
          <w:highlight w:val="none"/>
        </w:rPr>
        <w:t>技能人才培训力度，大规模开展职业技能培训，加快建设一支知识型、技能型、创新型的技工大军。</w:t>
      </w:r>
    </w:p>
    <w:p>
      <w:pPr>
        <w:bidi w:val="0"/>
        <w:rPr>
          <w:color w:val="auto"/>
          <w:highlight w:val="none"/>
        </w:rPr>
      </w:pPr>
      <w:r>
        <w:rPr>
          <w:b/>
          <w:bCs/>
          <w:color w:val="auto"/>
          <w:highlight w:val="none"/>
        </w:rPr>
        <w:t>提高居民收入水平</w:t>
      </w:r>
      <w:r>
        <w:rPr>
          <w:rFonts w:hint="eastAsia"/>
          <w:b/>
          <w:bCs/>
          <w:color w:val="auto"/>
          <w:highlight w:val="none"/>
          <w:lang w:eastAsia="zh-CN"/>
        </w:rPr>
        <w:t>。</w:t>
      </w:r>
      <w:r>
        <w:rPr>
          <w:color w:val="auto"/>
          <w:highlight w:val="none"/>
        </w:rPr>
        <w:t>探索形成居民收入增长与经济发展同步、劳动报酬增长和劳动生产率提高同步的长效机制。健全劳动、资本、知识、技术、管理等要素由市场决定报酬的机制。推进和谐劳动关系创建，规范企业劳动合同管理，加强劳动保障、法律法规宣传培训工作。做好企业薪酬调查工作，加强对最低工资标准执行的监督管理。深化薪酬制度改革，健全各类企业、机关和事业单位职工的工资正常增长机制。多渠道增加城乡居民的财产性收入，健全促进农民收入较快增长的长效机制，提高农村居民收入水平，缩小城乡收入差距。</w:t>
      </w:r>
    </w:p>
    <w:p>
      <w:pPr>
        <w:pStyle w:val="4"/>
        <w:spacing w:before="62" w:after="62"/>
        <w:ind w:firstLine="0"/>
        <w:jc w:val="center"/>
        <w:rPr>
          <w:rFonts w:hint="default" w:ascii="宋体" w:hAnsi="宋体"/>
          <w:color w:val="auto"/>
          <w:highlight w:val="none"/>
        </w:rPr>
      </w:pPr>
      <w:bookmarkStart w:id="288" w:name="_Toc30074"/>
      <w:r>
        <w:rPr>
          <w:rFonts w:hint="default" w:ascii="宋体" w:hAnsi="宋体"/>
          <w:color w:val="auto"/>
          <w:highlight w:val="none"/>
        </w:rPr>
        <w:t>第二节 健全城乡社会保障体系</w:t>
      </w:r>
      <w:bookmarkEnd w:id="288"/>
    </w:p>
    <w:p>
      <w:pPr>
        <w:ind w:firstLine="640"/>
        <w:rPr>
          <w:color w:val="auto"/>
          <w:highlight w:val="none"/>
        </w:rPr>
      </w:pPr>
      <w:r>
        <w:rPr>
          <w:color w:val="auto"/>
          <w:highlight w:val="none"/>
        </w:rPr>
        <w:t>深化社保体制改革，坚持全覆盖、保基本、多层次方针，健全覆盖全民、统筹城乡、公平统一、可持续的多层次社会保障体系。</w:t>
      </w:r>
    </w:p>
    <w:p>
      <w:pPr>
        <w:bidi w:val="0"/>
        <w:rPr>
          <w:color w:val="auto"/>
          <w:highlight w:val="none"/>
        </w:rPr>
      </w:pPr>
      <w:r>
        <w:rPr>
          <w:b/>
          <w:bCs/>
          <w:color w:val="auto"/>
          <w:highlight w:val="none"/>
        </w:rPr>
        <w:t>健全社会保障体系</w:t>
      </w:r>
      <w:r>
        <w:rPr>
          <w:rFonts w:hint="eastAsia"/>
          <w:b/>
          <w:bCs/>
          <w:color w:val="auto"/>
          <w:highlight w:val="none"/>
          <w:lang w:eastAsia="zh-CN"/>
        </w:rPr>
        <w:t>。</w:t>
      </w:r>
      <w:r>
        <w:rPr>
          <w:color w:val="auto"/>
          <w:highlight w:val="none"/>
        </w:rPr>
        <w:t>完善企业年金经办机制，加大宣传力度，扩大企业年金覆盖面。落实机关事业单位养老保险制度和城乡居民基本养老保险制度。发挥失业保险保障失业人员生活基础功能。扩大失业保险基金支出范围，切实减轻企业负担，增强政策受益覆盖面。完善全民医保体系，</w:t>
      </w:r>
      <w:r>
        <w:rPr>
          <w:rFonts w:hint="eastAsia"/>
          <w:color w:val="auto"/>
          <w:highlight w:val="none"/>
          <w:lang w:val="en-US" w:eastAsia="zh-CN"/>
        </w:rPr>
        <w:t>建立健全“城乡居民基本医疗保险+大病保险+医疗救助”三重保障机制</w:t>
      </w:r>
      <w:r>
        <w:rPr>
          <w:color w:val="auto"/>
          <w:highlight w:val="none"/>
        </w:rPr>
        <w:t>。深化医保支付方式改革，改进个人账户，开展门诊费用统筹</w:t>
      </w:r>
      <w:r>
        <w:rPr>
          <w:rFonts w:hint="eastAsia"/>
          <w:color w:val="auto"/>
          <w:highlight w:val="none"/>
        </w:rPr>
        <w:t>。</w:t>
      </w:r>
    </w:p>
    <w:p>
      <w:pPr>
        <w:bidi w:val="0"/>
        <w:rPr>
          <w:color w:val="auto"/>
          <w:highlight w:val="none"/>
        </w:rPr>
      </w:pPr>
      <w:r>
        <w:rPr>
          <w:b/>
          <w:bCs/>
          <w:color w:val="auto"/>
          <w:highlight w:val="none"/>
        </w:rPr>
        <w:t>落实工伤保险制度</w:t>
      </w:r>
      <w:r>
        <w:rPr>
          <w:rFonts w:hint="eastAsia"/>
          <w:b/>
          <w:bCs/>
          <w:color w:val="auto"/>
          <w:highlight w:val="none"/>
          <w:lang w:eastAsia="zh-CN"/>
        </w:rPr>
        <w:t>。</w:t>
      </w:r>
      <w:r>
        <w:rPr>
          <w:rFonts w:hint="eastAsia"/>
          <w:b w:val="0"/>
          <w:bCs w:val="0"/>
          <w:color w:val="auto"/>
          <w:highlight w:val="none"/>
          <w:lang w:val="en-US" w:eastAsia="zh-CN"/>
        </w:rPr>
        <w:t>加强</w:t>
      </w:r>
      <w:r>
        <w:rPr>
          <w:color w:val="auto"/>
          <w:highlight w:val="none"/>
        </w:rPr>
        <w:t>落实工伤保险省级统筹，做好工伤保险宣传和工伤预防培训，促进伤后补偿向伤前预防倾斜，降低工伤事故的发生率。落实非劳动关系群体参加工伤保险政策，妥善解决超过法定退休年龄劳动者、员工制家政企业从业人员、村居</w:t>
      </w:r>
      <w:r>
        <w:rPr>
          <w:rFonts w:hint="eastAsia"/>
          <w:color w:val="auto"/>
          <w:highlight w:val="none"/>
        </w:rPr>
        <w:t>“</w:t>
      </w:r>
      <w:r>
        <w:rPr>
          <w:color w:val="auto"/>
          <w:highlight w:val="none"/>
        </w:rPr>
        <w:t>两委</w:t>
      </w:r>
      <w:r>
        <w:rPr>
          <w:rFonts w:hint="eastAsia"/>
          <w:color w:val="auto"/>
          <w:highlight w:val="none"/>
        </w:rPr>
        <w:t>”</w:t>
      </w:r>
      <w:r>
        <w:rPr>
          <w:color w:val="auto"/>
          <w:highlight w:val="none"/>
        </w:rPr>
        <w:t>干部、企业实习见习学生等特定人群工伤保障问题。进一步扩大工伤保险覆盖面，依法全面推进各类用人单位参加工伤保险，全面完善覆盖城镇所有职工及外来务工人员</w:t>
      </w:r>
      <w:r>
        <w:rPr>
          <w:rFonts w:hint="eastAsia"/>
          <w:color w:val="auto"/>
          <w:highlight w:val="none"/>
          <w:lang w:val="en-US" w:eastAsia="zh-CN"/>
        </w:rPr>
        <w:t>的</w:t>
      </w:r>
      <w:r>
        <w:rPr>
          <w:color w:val="auto"/>
          <w:highlight w:val="none"/>
        </w:rPr>
        <w:t>工伤保险制度，实现</w:t>
      </w:r>
      <w:r>
        <w:rPr>
          <w:rFonts w:hint="eastAsia"/>
          <w:color w:val="auto"/>
          <w:highlight w:val="none"/>
        </w:rPr>
        <w:t>“</w:t>
      </w:r>
      <w:r>
        <w:rPr>
          <w:color w:val="auto"/>
          <w:highlight w:val="none"/>
        </w:rPr>
        <w:t>应保尽保</w:t>
      </w:r>
      <w:r>
        <w:rPr>
          <w:rFonts w:hint="eastAsia"/>
          <w:color w:val="auto"/>
          <w:highlight w:val="none"/>
        </w:rPr>
        <w:t>”</w:t>
      </w:r>
      <w:r>
        <w:rPr>
          <w:color w:val="auto"/>
          <w:highlight w:val="none"/>
        </w:rPr>
        <w:t>。</w:t>
      </w:r>
    </w:p>
    <w:p>
      <w:pPr>
        <w:bidi w:val="0"/>
        <w:rPr>
          <w:rFonts w:hint="default" w:eastAsia="仿宋"/>
          <w:color w:val="auto"/>
          <w:highlight w:val="none"/>
          <w:lang w:val="en-US" w:eastAsia="zh-CN"/>
        </w:rPr>
      </w:pPr>
      <w:r>
        <w:rPr>
          <w:b/>
          <w:bCs/>
          <w:color w:val="auto"/>
          <w:highlight w:val="none"/>
        </w:rPr>
        <w:t>完善城乡社会救助体系</w:t>
      </w:r>
      <w:r>
        <w:rPr>
          <w:rFonts w:hint="eastAsia"/>
          <w:b/>
          <w:bCs/>
          <w:color w:val="auto"/>
          <w:highlight w:val="none"/>
          <w:lang w:eastAsia="zh-CN"/>
        </w:rPr>
        <w:t>。</w:t>
      </w:r>
      <w:r>
        <w:rPr>
          <w:color w:val="auto"/>
          <w:highlight w:val="none"/>
        </w:rPr>
        <w:t>全面建立低收入家庭经济状况核对机制。建立跨部门、多层次、信息共享的救助申请家庭经济状况核对机制，逐步实现社会救助信息化核对、网络化管理，实现核对信息资源共享。健全与经济社会发展相适应的保障标准调整机制，适时提高保障标准。进一步完善分类施保和渐退帮扶措施，引导和帮助困难群众劳动致富。</w:t>
      </w:r>
      <w:r>
        <w:rPr>
          <w:rFonts w:hint="eastAsia"/>
          <w:color w:val="auto"/>
          <w:highlight w:val="none"/>
          <w:lang w:val="en-US" w:eastAsia="zh-CN"/>
        </w:rPr>
        <w:t>推动困难群众和特殊群体社会工作服务全覆盖，健全社会捐助机制，支持慈善事业发展，加强社会救助体系建设，强化基层社会救助服务能力。</w:t>
      </w:r>
    </w:p>
    <w:p>
      <w:pPr>
        <w:bidi w:val="0"/>
        <w:rPr>
          <w:color w:val="auto"/>
          <w:highlight w:val="none"/>
        </w:rPr>
      </w:pPr>
      <w:r>
        <w:rPr>
          <w:b/>
          <w:bCs/>
          <w:color w:val="auto"/>
          <w:highlight w:val="none"/>
        </w:rPr>
        <w:t>提升双拥发展水平</w:t>
      </w:r>
      <w:r>
        <w:rPr>
          <w:rFonts w:hint="eastAsia"/>
          <w:b/>
          <w:bCs/>
          <w:color w:val="auto"/>
          <w:highlight w:val="none"/>
          <w:lang w:eastAsia="zh-CN"/>
        </w:rPr>
        <w:t>。</w:t>
      </w:r>
      <w:r>
        <w:rPr>
          <w:rFonts w:hint="eastAsia"/>
          <w:color w:val="auto"/>
          <w:highlight w:val="none"/>
          <w:lang w:val="en-US" w:eastAsia="zh-CN"/>
        </w:rPr>
        <w:t>着力</w:t>
      </w:r>
      <w:r>
        <w:rPr>
          <w:color w:val="auto"/>
          <w:highlight w:val="none"/>
        </w:rPr>
        <w:t>落实抚恤优待政策，为重点优抚对象解决生活、住房、医疗困难。做好</w:t>
      </w:r>
      <w:r>
        <w:rPr>
          <w:rFonts w:hint="eastAsia"/>
          <w:color w:val="auto"/>
          <w:highlight w:val="none"/>
          <w:lang w:val="en-US" w:eastAsia="zh-CN"/>
        </w:rPr>
        <w:t>退役</w:t>
      </w:r>
      <w:r>
        <w:rPr>
          <w:color w:val="auto"/>
          <w:highlight w:val="none"/>
        </w:rPr>
        <w:t>军人服务，推动军民融合。深入推进军民共建活动，加大拥军优属力度，筹措资金解决企业军转干部的生活保障及医疗保险等实际问题。提升军休管理服务质量，维护社会稳定。学习宣传退役军人先进典型，增强榜样的力量，增强军属荣誉感。</w:t>
      </w:r>
    </w:p>
    <w:p>
      <w:pPr>
        <w:pStyle w:val="4"/>
        <w:spacing w:before="62" w:after="62"/>
        <w:ind w:firstLine="0"/>
        <w:jc w:val="center"/>
        <w:rPr>
          <w:rFonts w:hint="default" w:ascii="宋体" w:hAnsi="宋体"/>
          <w:color w:val="auto"/>
          <w:highlight w:val="none"/>
        </w:rPr>
      </w:pPr>
      <w:bookmarkStart w:id="289" w:name="_Toc23183"/>
      <w:r>
        <w:rPr>
          <w:rFonts w:hint="default" w:ascii="宋体" w:hAnsi="宋体"/>
          <w:color w:val="auto"/>
          <w:highlight w:val="none"/>
        </w:rPr>
        <w:t>第三节 完善养老服务体系</w:t>
      </w:r>
      <w:bookmarkEnd w:id="289"/>
    </w:p>
    <w:p>
      <w:pPr>
        <w:ind w:firstLine="640"/>
        <w:rPr>
          <w:color w:val="auto"/>
          <w:highlight w:val="none"/>
        </w:rPr>
      </w:pPr>
      <w:r>
        <w:rPr>
          <w:color w:val="auto"/>
          <w:highlight w:val="none"/>
        </w:rPr>
        <w:t>推动养老事业和养老产业协同发展，健全基本养老服务体系，构建居家社区机构相协调、医养康养相结合的养老服务体系。</w:t>
      </w:r>
    </w:p>
    <w:p>
      <w:pPr>
        <w:bidi w:val="0"/>
        <w:rPr>
          <w:color w:val="auto"/>
          <w:highlight w:val="none"/>
        </w:rPr>
      </w:pPr>
      <w:r>
        <w:rPr>
          <w:b/>
          <w:bCs/>
          <w:color w:val="auto"/>
          <w:highlight w:val="none"/>
        </w:rPr>
        <w:t>扩大养老服务供给</w:t>
      </w:r>
      <w:r>
        <w:rPr>
          <w:rFonts w:hint="eastAsia"/>
          <w:b/>
          <w:bCs/>
          <w:color w:val="auto"/>
          <w:highlight w:val="none"/>
          <w:lang w:eastAsia="zh-CN"/>
        </w:rPr>
        <w:t>。</w:t>
      </w:r>
      <w:r>
        <w:rPr>
          <w:color w:val="auto"/>
          <w:highlight w:val="none"/>
        </w:rPr>
        <w:t>全面建设以居家养老为基础、社区为依托、机构为支撑的，功能完善、规模适度、覆盖城乡的养老服务体系。加快发展居家社区养老服务，大力支持养老机构运营社区养老服务设施</w:t>
      </w:r>
      <w:r>
        <w:rPr>
          <w:rFonts w:hint="eastAsia"/>
          <w:color w:val="auto"/>
          <w:highlight w:val="none"/>
          <w:lang w:eastAsia="zh-CN"/>
        </w:rPr>
        <w:t>，</w:t>
      </w:r>
      <w:r>
        <w:rPr>
          <w:rFonts w:hint="eastAsia"/>
          <w:color w:val="auto"/>
          <w:highlight w:val="none"/>
          <w:lang w:val="en-US" w:eastAsia="zh-CN"/>
        </w:rPr>
        <w:t>或</w:t>
      </w:r>
      <w:r>
        <w:rPr>
          <w:color w:val="auto"/>
          <w:highlight w:val="none"/>
        </w:rPr>
        <w:t>利用自身设施和服务资源提供居家社区养老服务。发挥公办养老机构对城乡各类困难老年人托底保障作用，依托农村五保供养服务机构发展区域性养老服务中心。发挥社会力量主体作用，全面放开养老服务市场，采取公建民营、民建公助、购买服务等多种方式，建设一批具有知名品牌和较强竞争力的养老机构。</w:t>
      </w:r>
    </w:p>
    <w:p>
      <w:pPr>
        <w:bidi w:val="0"/>
        <w:rPr>
          <w:color w:val="auto"/>
          <w:highlight w:val="none"/>
        </w:rPr>
      </w:pPr>
      <w:r>
        <w:rPr>
          <w:b/>
          <w:bCs/>
          <w:color w:val="auto"/>
          <w:highlight w:val="none"/>
        </w:rPr>
        <w:t>积极创新养老模式</w:t>
      </w:r>
      <w:r>
        <w:rPr>
          <w:rFonts w:hint="eastAsia"/>
          <w:b/>
          <w:bCs/>
          <w:color w:val="auto"/>
          <w:highlight w:val="none"/>
          <w:lang w:eastAsia="zh-CN"/>
        </w:rPr>
        <w:t>。</w:t>
      </w:r>
      <w:r>
        <w:rPr>
          <w:color w:val="auto"/>
          <w:highlight w:val="none"/>
        </w:rPr>
        <w:t>促进医疗卫生与养老服务融合发展，引导有条件的养老机构设置医疗机构或就近与医疗机构开展合作，促进医疗卫生资源进入养老机构、社区和居民家庭，积极开展慢性病健康管理服务、家庭医生签约等服务</w:t>
      </w:r>
      <w:r>
        <w:rPr>
          <w:rFonts w:hint="eastAsia"/>
          <w:color w:val="auto"/>
          <w:highlight w:val="none"/>
          <w:lang w:eastAsia="zh-CN"/>
        </w:rPr>
        <w:t>。</w:t>
      </w:r>
      <w:r>
        <w:rPr>
          <w:color w:val="auto"/>
          <w:highlight w:val="none"/>
        </w:rPr>
        <w:t>推进医养康养融合发展，加大对经济困难高龄、失能老年人和特困供养人员长期照护服务力度。鼓励基层医师与有意愿的老年家庭建立契约服务关系，构建养老、医护、康复、临终关怀服务相互衔接模式。</w:t>
      </w:r>
    </w:p>
    <w:p>
      <w:pPr>
        <w:pStyle w:val="4"/>
        <w:spacing w:before="62" w:after="62"/>
        <w:ind w:firstLine="0"/>
        <w:jc w:val="center"/>
        <w:rPr>
          <w:rFonts w:hint="default" w:ascii="宋体" w:hAnsi="宋体"/>
          <w:color w:val="auto"/>
          <w:highlight w:val="none"/>
        </w:rPr>
      </w:pPr>
      <w:bookmarkStart w:id="290" w:name="_Toc24648"/>
      <w:r>
        <w:rPr>
          <w:rFonts w:hint="default" w:ascii="宋体" w:hAnsi="宋体"/>
          <w:color w:val="auto"/>
          <w:highlight w:val="none"/>
        </w:rPr>
        <w:t>第四节 建设高质量教育体系</w:t>
      </w:r>
      <w:bookmarkEnd w:id="290"/>
    </w:p>
    <w:p>
      <w:pPr>
        <w:ind w:firstLine="640"/>
        <w:rPr>
          <w:color w:val="auto"/>
          <w:szCs w:val="22"/>
          <w:highlight w:val="none"/>
        </w:rPr>
      </w:pPr>
      <w:r>
        <w:rPr>
          <w:rFonts w:hint="eastAsia"/>
          <w:color w:val="auto"/>
          <w:szCs w:val="22"/>
          <w:highlight w:val="none"/>
        </w:rPr>
        <w:t>坚持教育公益性原则，强化教育投入与保障，落实教育优先发展战略，深化教育改革，促进教育公平，完善普惠性学前教育，推动义务教育均衡发展和城乡一体化，鼓励高中阶段教育多样化发展</w:t>
      </w:r>
      <w:r>
        <w:rPr>
          <w:rFonts w:hint="eastAsia"/>
          <w:color w:val="auto"/>
          <w:szCs w:val="22"/>
          <w:highlight w:val="none"/>
          <w:lang w:eastAsia="zh-CN"/>
        </w:rPr>
        <w:t>，</w:t>
      </w:r>
      <w:r>
        <w:rPr>
          <w:rFonts w:hint="eastAsia"/>
          <w:color w:val="auto"/>
          <w:szCs w:val="22"/>
          <w:highlight w:val="none"/>
        </w:rPr>
        <w:t>建设高标准高质量教育现代化先进区。</w:t>
      </w:r>
    </w:p>
    <w:p>
      <w:pPr>
        <w:bidi w:val="0"/>
        <w:rPr>
          <w:color w:val="auto"/>
          <w:highlight w:val="none"/>
        </w:rPr>
      </w:pPr>
      <w:r>
        <w:rPr>
          <w:b/>
          <w:bCs/>
          <w:color w:val="auto"/>
          <w:highlight w:val="none"/>
        </w:rPr>
        <w:t>加大对学前教育扶持力度</w:t>
      </w:r>
      <w:r>
        <w:rPr>
          <w:rFonts w:hint="eastAsia"/>
          <w:b/>
          <w:bCs/>
          <w:color w:val="auto"/>
          <w:highlight w:val="none"/>
          <w:lang w:eastAsia="zh-CN"/>
        </w:rPr>
        <w:t>。</w:t>
      </w:r>
      <w:r>
        <w:rPr>
          <w:rFonts w:hint="eastAsia"/>
          <w:color w:val="auto"/>
          <w:highlight w:val="none"/>
        </w:rPr>
        <w:t>合理安排学前教育用地，严格落实城区新建楼盘配套建设幼儿园政策，加大教育用地的征收力度，促使城区学前教育学位建设加快推进</w:t>
      </w:r>
      <w:r>
        <w:rPr>
          <w:rFonts w:hint="eastAsia"/>
          <w:color w:val="auto"/>
          <w:highlight w:val="none"/>
          <w:lang w:eastAsia="zh-CN"/>
        </w:rPr>
        <w:t>，</w:t>
      </w:r>
      <w:r>
        <w:rPr>
          <w:rFonts w:hint="eastAsia"/>
          <w:color w:val="auto"/>
          <w:highlight w:val="none"/>
        </w:rPr>
        <w:t>巩固“</w:t>
      </w:r>
      <w:r>
        <w:rPr>
          <w:rFonts w:hint="eastAsia" w:ascii="Times New Roman" w:hAnsi="Times New Roman"/>
          <w:color w:val="auto"/>
          <w:highlight w:val="none"/>
          <w:lang w:eastAsia="zh-CN"/>
        </w:rPr>
        <w:t>5080</w:t>
      </w:r>
      <w:r>
        <w:rPr>
          <w:rFonts w:hint="eastAsia"/>
          <w:color w:val="auto"/>
          <w:highlight w:val="none"/>
        </w:rPr>
        <w:t>”攻坚行动成果。加大公办幼儿园建设力度，规划全区每个镇街以高标准新建</w:t>
      </w:r>
      <w:r>
        <w:rPr>
          <w:rFonts w:hint="eastAsia" w:ascii="Times New Roman" w:hAnsi="Times New Roman"/>
          <w:color w:val="auto"/>
          <w:highlight w:val="none"/>
          <w:lang w:eastAsia="zh-CN"/>
        </w:rPr>
        <w:t>1</w:t>
      </w:r>
      <w:r>
        <w:rPr>
          <w:rFonts w:hint="eastAsia"/>
          <w:color w:val="auto"/>
          <w:highlight w:val="none"/>
        </w:rPr>
        <w:t>所以上公办幼儿园，</w:t>
      </w:r>
      <w:r>
        <w:rPr>
          <w:rFonts w:hint="eastAsia"/>
          <w:color w:val="auto"/>
          <w:highlight w:val="none"/>
          <w:lang w:val="en-US" w:eastAsia="zh-CN"/>
        </w:rPr>
        <w:t>加快</w:t>
      </w:r>
      <w:r>
        <w:rPr>
          <w:rFonts w:hint="eastAsia"/>
          <w:color w:val="auto"/>
          <w:highlight w:val="none"/>
        </w:rPr>
        <w:t>落实公办幼儿园教师职工编制。实施坡头区幼儿园改造升级计划，</w:t>
      </w:r>
      <w:r>
        <w:rPr>
          <w:rFonts w:hint="eastAsia"/>
          <w:color w:val="auto"/>
          <w:highlight w:val="none"/>
          <w:lang w:val="en-US" w:eastAsia="zh-CN"/>
        </w:rPr>
        <w:t>支持每</w:t>
      </w:r>
      <w:r>
        <w:rPr>
          <w:rFonts w:hint="eastAsia"/>
          <w:color w:val="auto"/>
          <w:highlight w:val="none"/>
        </w:rPr>
        <w:t>镇街创建</w:t>
      </w:r>
      <w:r>
        <w:rPr>
          <w:rFonts w:hint="eastAsia" w:ascii="Times New Roman" w:hAnsi="Times New Roman"/>
          <w:color w:val="auto"/>
          <w:highlight w:val="none"/>
          <w:lang w:eastAsia="zh-CN"/>
        </w:rPr>
        <w:t>1</w:t>
      </w:r>
      <w:r>
        <w:rPr>
          <w:rFonts w:hint="eastAsia"/>
          <w:color w:val="auto"/>
          <w:highlight w:val="none"/>
        </w:rPr>
        <w:t>所市一级幼儿园，鼓励指导条件较好的幼儿园申报省一级幼儿园，提高全区学前教育水平。到</w:t>
      </w:r>
      <w:r>
        <w:rPr>
          <w:rFonts w:hint="eastAsia" w:ascii="Times New Roman" w:hAnsi="Times New Roman"/>
          <w:color w:val="auto"/>
          <w:highlight w:val="none"/>
          <w:lang w:eastAsia="zh-CN"/>
        </w:rPr>
        <w:t>2025</w:t>
      </w:r>
      <w:r>
        <w:rPr>
          <w:rFonts w:hint="eastAsia"/>
          <w:color w:val="auto"/>
          <w:highlight w:val="none"/>
        </w:rPr>
        <w:t>年，新增</w:t>
      </w:r>
      <w:r>
        <w:rPr>
          <w:rFonts w:hint="eastAsia" w:ascii="Times New Roman" w:hAnsi="Times New Roman"/>
          <w:color w:val="auto"/>
          <w:highlight w:val="none"/>
          <w:lang w:eastAsia="zh-CN"/>
        </w:rPr>
        <w:t>8</w:t>
      </w:r>
      <w:r>
        <w:rPr>
          <w:rFonts w:hint="eastAsia"/>
          <w:color w:val="auto"/>
          <w:highlight w:val="none"/>
        </w:rPr>
        <w:t>所公办幼儿园。</w:t>
      </w:r>
    </w:p>
    <w:p>
      <w:pPr>
        <w:bidi w:val="0"/>
        <w:rPr>
          <w:rFonts w:hint="eastAsia"/>
          <w:color w:val="auto"/>
          <w:szCs w:val="22"/>
          <w:highlight w:val="none"/>
        </w:rPr>
      </w:pPr>
      <w:r>
        <w:rPr>
          <w:b/>
          <w:bCs/>
          <w:color w:val="auto"/>
          <w:highlight w:val="none"/>
        </w:rPr>
        <w:t>推进义务教育均衡发展</w:t>
      </w:r>
      <w:r>
        <w:rPr>
          <w:rFonts w:hint="eastAsia"/>
          <w:b/>
          <w:bCs/>
          <w:color w:val="auto"/>
          <w:highlight w:val="none"/>
          <w:lang w:eastAsia="zh-CN"/>
        </w:rPr>
        <w:t>。</w:t>
      </w:r>
      <w:r>
        <w:rPr>
          <w:rFonts w:hint="eastAsia"/>
          <w:color w:val="auto"/>
          <w:szCs w:val="22"/>
          <w:highlight w:val="none"/>
        </w:rPr>
        <w:t>完善义务教育入学机制，完善学籍管理制度，扩大优质学位供给，确保适龄儿童少年按时入学。扩大义务教育学位供给，在新建城区再建</w:t>
      </w:r>
      <w:r>
        <w:rPr>
          <w:rFonts w:hint="eastAsia" w:ascii="Times New Roman" w:hAnsi="Times New Roman"/>
          <w:color w:val="auto"/>
          <w:szCs w:val="22"/>
          <w:highlight w:val="none"/>
          <w:lang w:eastAsia="zh-CN"/>
        </w:rPr>
        <w:t>3</w:t>
      </w:r>
      <w:r>
        <w:rPr>
          <w:rFonts w:hint="eastAsia"/>
          <w:color w:val="auto"/>
          <w:szCs w:val="22"/>
          <w:highlight w:val="none"/>
        </w:rPr>
        <w:t>所中小学，完成坡头区南调中学（坡头区第二小学）、龙头镇中心小学，南调小学等城镇周边小学的升级改造工程，增加学位供给。采取倾斜政策扶持农村小学，缩小城乡差距和校际差距，促进区域义务教育均衡优质发展。加快实施新一轮学校布局调整规划，逐步撤去条件成熟的小规模学校，规划</w:t>
      </w:r>
      <w:r>
        <w:rPr>
          <w:rFonts w:hint="eastAsia"/>
          <w:color w:val="auto"/>
          <w:szCs w:val="22"/>
          <w:highlight w:val="none"/>
          <w:lang w:val="en-US" w:eastAsia="zh-CN"/>
        </w:rPr>
        <w:t>各</w:t>
      </w:r>
      <w:r>
        <w:rPr>
          <w:rFonts w:hint="eastAsia"/>
          <w:color w:val="auto"/>
          <w:szCs w:val="22"/>
          <w:highlight w:val="none"/>
        </w:rPr>
        <w:t>镇改扩建</w:t>
      </w:r>
      <w:r>
        <w:rPr>
          <w:rFonts w:hint="eastAsia" w:ascii="Times New Roman" w:hAnsi="Times New Roman"/>
          <w:color w:val="auto"/>
          <w:szCs w:val="22"/>
          <w:highlight w:val="none"/>
          <w:lang w:eastAsia="zh-CN"/>
        </w:rPr>
        <w:t>3</w:t>
      </w:r>
      <w:r>
        <w:rPr>
          <w:rFonts w:hint="eastAsia"/>
          <w:color w:val="auto"/>
          <w:szCs w:val="22"/>
          <w:highlight w:val="none"/>
        </w:rPr>
        <w:t>至</w:t>
      </w:r>
      <w:r>
        <w:rPr>
          <w:rFonts w:hint="eastAsia" w:ascii="Times New Roman" w:hAnsi="Times New Roman"/>
          <w:color w:val="auto"/>
          <w:szCs w:val="22"/>
          <w:highlight w:val="none"/>
          <w:lang w:eastAsia="zh-CN"/>
        </w:rPr>
        <w:t>4</w:t>
      </w:r>
      <w:r>
        <w:rPr>
          <w:rFonts w:hint="eastAsia"/>
          <w:color w:val="auto"/>
          <w:szCs w:val="22"/>
          <w:highlight w:val="none"/>
        </w:rPr>
        <w:t>所规模较大</w:t>
      </w:r>
      <w:r>
        <w:rPr>
          <w:rFonts w:hint="eastAsia"/>
          <w:color w:val="auto"/>
          <w:szCs w:val="22"/>
          <w:highlight w:val="none"/>
          <w:lang w:eastAsia="zh-CN"/>
        </w:rPr>
        <w:t>、</w:t>
      </w:r>
      <w:r>
        <w:rPr>
          <w:rFonts w:hint="eastAsia"/>
          <w:color w:val="auto"/>
          <w:szCs w:val="22"/>
          <w:highlight w:val="none"/>
        </w:rPr>
        <w:t>办学条件较好的农村小学为镇副中心小学，整合资源，提高农村学校办学质量，满足群众需求。推动有条件的完全小学办成寄宿制学校。全面推进广东省互联网环境下基础教育教学改革实验区，打造</w:t>
      </w:r>
      <w:r>
        <w:rPr>
          <w:rFonts w:hint="eastAsia" w:ascii="Times New Roman" w:hAnsi="Times New Roman"/>
          <w:color w:val="auto"/>
          <w:szCs w:val="22"/>
          <w:highlight w:val="none"/>
          <w:lang w:eastAsia="zh-CN"/>
        </w:rPr>
        <w:t>10</w:t>
      </w:r>
      <w:r>
        <w:rPr>
          <w:rFonts w:hint="eastAsia"/>
          <w:color w:val="auto"/>
          <w:szCs w:val="22"/>
          <w:highlight w:val="none"/>
        </w:rPr>
        <w:t>所</w:t>
      </w:r>
      <w:r>
        <w:rPr>
          <w:rFonts w:hint="eastAsia"/>
          <w:color w:val="auto"/>
          <w:szCs w:val="22"/>
          <w:highlight w:val="none"/>
          <w:lang w:val="en-US" w:eastAsia="zh-CN"/>
        </w:rPr>
        <w:t>高水平高声誉</w:t>
      </w:r>
      <w:r>
        <w:rPr>
          <w:rFonts w:hint="eastAsia"/>
          <w:color w:val="auto"/>
          <w:szCs w:val="22"/>
          <w:highlight w:val="none"/>
        </w:rPr>
        <w:t>的</w:t>
      </w:r>
      <w:r>
        <w:rPr>
          <w:rFonts w:hint="eastAsia"/>
          <w:color w:val="auto"/>
          <w:szCs w:val="22"/>
          <w:highlight w:val="none"/>
          <w:lang w:val="en-US" w:eastAsia="zh-CN"/>
        </w:rPr>
        <w:t>中小学</w:t>
      </w:r>
      <w:r>
        <w:rPr>
          <w:rFonts w:hint="eastAsia"/>
          <w:color w:val="auto"/>
          <w:szCs w:val="22"/>
          <w:highlight w:val="none"/>
        </w:rPr>
        <w:t>。</w:t>
      </w:r>
    </w:p>
    <w:p>
      <w:pPr>
        <w:bidi w:val="0"/>
        <w:rPr>
          <w:rFonts w:hint="eastAsia"/>
          <w:color w:val="auto"/>
          <w:szCs w:val="22"/>
          <w:highlight w:val="none"/>
        </w:rPr>
      </w:pPr>
      <w:r>
        <w:rPr>
          <w:rFonts w:hint="eastAsia"/>
          <w:b/>
          <w:bCs/>
          <w:color w:val="auto"/>
          <w:highlight w:val="none"/>
        </w:rPr>
        <w:t>推动普通高中优质发展</w:t>
      </w:r>
      <w:r>
        <w:rPr>
          <w:rFonts w:hint="eastAsia"/>
          <w:b/>
          <w:bCs/>
          <w:color w:val="auto"/>
          <w:highlight w:val="none"/>
          <w:lang w:eastAsia="zh-CN"/>
        </w:rPr>
        <w:t>。</w:t>
      </w:r>
      <w:r>
        <w:rPr>
          <w:rFonts w:hint="eastAsia"/>
          <w:color w:val="auto"/>
          <w:szCs w:val="22"/>
          <w:highlight w:val="none"/>
        </w:rPr>
        <w:t>加强高中学校教育信息化建设、校园文化建设、师资队伍建设和高考特色学校建设，进一步满足当地人民群众对高中优质学位的需求。实现高考改革平稳过渡、提升高中教育质量。办好普通高中创新班试验工作，指导学校做好课程规划，鼓励学校特色办学，满足人才成长个性化需求。</w:t>
      </w:r>
    </w:p>
    <w:p>
      <w:pPr>
        <w:bidi w:val="0"/>
        <w:rPr>
          <w:rFonts w:hint="eastAsia"/>
          <w:color w:val="auto"/>
          <w:highlight w:val="none"/>
        </w:rPr>
      </w:pPr>
      <w:r>
        <w:rPr>
          <w:rFonts w:hint="eastAsia"/>
          <w:b/>
          <w:bCs/>
          <w:color w:val="auto"/>
          <w:highlight w:val="none"/>
        </w:rPr>
        <w:t>进一步加强特殊教育</w:t>
      </w:r>
      <w:r>
        <w:rPr>
          <w:rFonts w:hint="eastAsia"/>
          <w:b/>
          <w:bCs/>
          <w:color w:val="auto"/>
          <w:highlight w:val="none"/>
          <w:lang w:eastAsia="zh-CN"/>
        </w:rPr>
        <w:t>。</w:t>
      </w:r>
      <w:r>
        <w:rPr>
          <w:rFonts w:hint="eastAsia"/>
          <w:color w:val="auto"/>
          <w:highlight w:val="none"/>
        </w:rPr>
        <w:t>加快区特殊教育学校标准化建设。落实特殊教育提升计划，确保</w:t>
      </w:r>
      <w:r>
        <w:rPr>
          <w:rFonts w:hint="eastAsia" w:ascii="Times New Roman" w:hAnsi="Times New Roman"/>
          <w:color w:val="auto"/>
          <w:highlight w:val="none"/>
          <w:lang w:eastAsia="zh-CN"/>
        </w:rPr>
        <w:t>202</w:t>
      </w:r>
      <w:r>
        <w:rPr>
          <w:rFonts w:hint="eastAsia"/>
          <w:color w:val="auto"/>
          <w:highlight w:val="none"/>
          <w:lang w:val="en-US" w:eastAsia="zh-CN"/>
        </w:rPr>
        <w:t>5</w:t>
      </w:r>
      <w:r>
        <w:rPr>
          <w:rFonts w:hint="eastAsia"/>
          <w:color w:val="auto"/>
          <w:highlight w:val="none"/>
        </w:rPr>
        <w:t>年适龄残疾儿童少年义务教育阶段入学率达到</w:t>
      </w:r>
      <w:r>
        <w:rPr>
          <w:rFonts w:hint="eastAsia" w:ascii="Times New Roman" w:hAnsi="Times New Roman"/>
          <w:color w:val="auto"/>
          <w:highlight w:val="none"/>
          <w:lang w:eastAsia="zh-CN"/>
        </w:rPr>
        <w:t>95%</w:t>
      </w:r>
      <w:r>
        <w:rPr>
          <w:rFonts w:hint="eastAsia"/>
          <w:color w:val="auto"/>
          <w:highlight w:val="none"/>
        </w:rPr>
        <w:t>以上，提高特殊教育办学水平，办成全市标杆特殊教育学校。</w:t>
      </w:r>
    </w:p>
    <w:p>
      <w:pPr>
        <w:bidi w:val="0"/>
        <w:rPr>
          <w:rFonts w:hint="eastAsia"/>
          <w:color w:val="auto"/>
          <w:highlight w:val="none"/>
        </w:rPr>
      </w:pPr>
      <w:r>
        <w:rPr>
          <w:rFonts w:hint="eastAsia"/>
          <w:b/>
          <w:bCs/>
          <w:color w:val="auto"/>
          <w:highlight w:val="none"/>
        </w:rPr>
        <w:t>加强教师队伍建设</w:t>
      </w:r>
      <w:r>
        <w:rPr>
          <w:rFonts w:hint="eastAsia"/>
          <w:b/>
          <w:bCs/>
          <w:color w:val="auto"/>
          <w:highlight w:val="none"/>
          <w:lang w:eastAsia="zh-CN"/>
        </w:rPr>
        <w:t>。</w:t>
      </w:r>
      <w:r>
        <w:rPr>
          <w:rFonts w:hint="eastAsia"/>
          <w:color w:val="auto"/>
          <w:highlight w:val="none"/>
        </w:rPr>
        <w:t>加强和改进师德师风建设，大力提升教师专业素质能力。完善教师待遇保障机制，努力解决教师结构性缺编问题，推进“县管校聘”管理改革，创新和规范编制配备，优化教师资源配置，推进县域内中小学教师、校长交流轮岗，多渠道举办专业教师转岗学习培训，解决小学学科专业教师不足问题，加快“名校长、名班主任、名师”培育步伐，培养一批在全市有影响力的名教育人，以聚群效应推动全区教师队伍的发展。</w:t>
      </w:r>
    </w:p>
    <w:p>
      <w:pPr>
        <w:bidi w:val="0"/>
        <w:rPr>
          <w:color w:val="auto"/>
          <w:highlight w:val="none"/>
        </w:rPr>
      </w:pPr>
      <w:r>
        <w:rPr>
          <w:rFonts w:hint="eastAsia"/>
          <w:b/>
          <w:bCs/>
          <w:color w:val="auto"/>
          <w:highlight w:val="none"/>
        </w:rPr>
        <w:t>建立完善教育经费保障机制</w:t>
      </w:r>
      <w:r>
        <w:rPr>
          <w:rFonts w:hint="eastAsia"/>
          <w:b/>
          <w:bCs/>
          <w:color w:val="auto"/>
          <w:highlight w:val="none"/>
          <w:lang w:eastAsia="zh-CN"/>
        </w:rPr>
        <w:t>。</w:t>
      </w:r>
      <w:r>
        <w:rPr>
          <w:rFonts w:hint="eastAsia"/>
          <w:color w:val="auto"/>
          <w:highlight w:val="none"/>
        </w:rPr>
        <w:t>保障学前教育、义务教育经费及时到位，加强公办幼儿园和中小学的基础设施设备建设，进一步提升办学条件。加大教育经费投入力度，保障城区学位建设资金，加快推进城区优质学位建设。</w:t>
      </w:r>
    </w:p>
    <w:p>
      <w:pPr>
        <w:pStyle w:val="4"/>
        <w:spacing w:before="62" w:after="62"/>
        <w:ind w:firstLine="0"/>
        <w:jc w:val="center"/>
        <w:rPr>
          <w:rFonts w:hint="default" w:ascii="宋体" w:hAnsi="宋体" w:eastAsia="黑体"/>
          <w:color w:val="auto"/>
          <w:highlight w:val="none"/>
          <w:lang w:val="en-US" w:eastAsia="zh-CN"/>
        </w:rPr>
      </w:pPr>
      <w:bookmarkStart w:id="291" w:name="_Toc4833"/>
      <w:r>
        <w:rPr>
          <w:rFonts w:hint="default" w:ascii="宋体" w:hAnsi="宋体"/>
          <w:color w:val="auto"/>
          <w:highlight w:val="none"/>
        </w:rPr>
        <w:t xml:space="preserve">第五节 </w:t>
      </w:r>
      <w:r>
        <w:rPr>
          <w:rFonts w:hint="eastAsia"/>
          <w:color w:val="auto"/>
          <w:highlight w:val="none"/>
          <w:lang w:val="en-US" w:eastAsia="zh-CN"/>
        </w:rPr>
        <w:t>打造优质医疗健康体系</w:t>
      </w:r>
      <w:bookmarkEnd w:id="291"/>
    </w:p>
    <w:p>
      <w:pPr>
        <w:ind w:firstLine="640"/>
        <w:rPr>
          <w:color w:val="auto"/>
          <w:highlight w:val="none"/>
        </w:rPr>
      </w:pPr>
      <w:r>
        <w:rPr>
          <w:color w:val="auto"/>
          <w:highlight w:val="none"/>
        </w:rPr>
        <w:t>把保障人民健康放在优先发展的战略位置，实施健康中国行动，完善国民健康促进政策。</w:t>
      </w:r>
    </w:p>
    <w:p>
      <w:pPr>
        <w:bidi w:val="0"/>
        <w:rPr>
          <w:color w:val="auto"/>
          <w:highlight w:val="none"/>
        </w:rPr>
      </w:pPr>
      <w:r>
        <w:rPr>
          <w:rFonts w:hint="eastAsia"/>
          <w:b/>
          <w:bCs/>
          <w:color w:val="auto"/>
          <w:highlight w:val="none"/>
          <w:lang w:val="en-US" w:eastAsia="zh-CN"/>
        </w:rPr>
        <w:t>完善</w:t>
      </w:r>
      <w:r>
        <w:rPr>
          <w:b/>
          <w:bCs/>
          <w:color w:val="auto"/>
          <w:highlight w:val="none"/>
        </w:rPr>
        <w:t>医疗卫生服务</w:t>
      </w:r>
      <w:r>
        <w:rPr>
          <w:rFonts w:hint="eastAsia"/>
          <w:b/>
          <w:bCs/>
          <w:color w:val="auto"/>
          <w:highlight w:val="none"/>
          <w:lang w:val="en-US" w:eastAsia="zh-CN"/>
        </w:rPr>
        <w:t>体系</w:t>
      </w:r>
      <w:r>
        <w:rPr>
          <w:rFonts w:hint="eastAsia"/>
          <w:b/>
          <w:bCs/>
          <w:color w:val="auto"/>
          <w:highlight w:val="none"/>
          <w:lang w:eastAsia="zh-CN"/>
        </w:rPr>
        <w:t>。</w:t>
      </w:r>
      <w:r>
        <w:rPr>
          <w:color w:val="auto"/>
          <w:highlight w:val="none"/>
        </w:rPr>
        <w:t>推进落实分级诊疗制度，以医联体等建设为载体，以家庭医生签约服务为重要手段，推动形成基层首诊、双向转移、上下联动的就医机制。</w:t>
      </w:r>
      <w:r>
        <w:rPr>
          <w:rFonts w:hint="eastAsia"/>
          <w:color w:val="auto"/>
          <w:highlight w:val="none"/>
        </w:rPr>
        <w:t>采取灵活人才政策留住医技人才，实现“小病不出镇村”，加强区级医院建设，</w:t>
      </w:r>
      <w:r>
        <w:rPr>
          <w:rFonts w:hint="eastAsia"/>
          <w:color w:val="auto"/>
          <w:highlight w:val="none"/>
          <w:lang w:val="en-US" w:eastAsia="zh-CN"/>
        </w:rPr>
        <w:t>推动广东医科大学附属医院海东院区建设，加快湛江市坡头区妇幼保健院升级改造，</w:t>
      </w:r>
      <w:r>
        <w:rPr>
          <w:rFonts w:hint="eastAsia"/>
          <w:color w:val="auto"/>
          <w:highlight w:val="none"/>
        </w:rPr>
        <w:t>提高区级医疗单位服务水平。</w:t>
      </w:r>
      <w:r>
        <w:rPr>
          <w:color w:val="auto"/>
          <w:highlight w:val="none"/>
        </w:rPr>
        <w:t>以区人民医院为龙头，</w:t>
      </w:r>
      <w:r>
        <w:rPr>
          <w:rFonts w:hint="eastAsia"/>
          <w:color w:val="auto"/>
          <w:highlight w:val="none"/>
        </w:rPr>
        <w:t>打造</w:t>
      </w:r>
      <w:r>
        <w:rPr>
          <w:color w:val="auto"/>
          <w:highlight w:val="none"/>
        </w:rPr>
        <w:t>优质高效的医疗卫生服务体系，以基层医疗卫生机构为基础，形成不同层次的医疗体系。加快中医药建设，实施基层中医药服务能力建设，提高中医药防病看病能力，促进中西医结合，放宽中医药服务准入，保证社会办和政府办中医医疗机构的准入</w:t>
      </w:r>
      <w:r>
        <w:rPr>
          <w:rFonts w:hint="eastAsia"/>
          <w:color w:val="auto"/>
          <w:highlight w:val="none"/>
          <w:lang w:eastAsia="zh-CN"/>
        </w:rPr>
        <w:t>、</w:t>
      </w:r>
      <w:r>
        <w:rPr>
          <w:color w:val="auto"/>
          <w:highlight w:val="none"/>
        </w:rPr>
        <w:t>执业等方面享有同等权利。</w:t>
      </w:r>
      <w:r>
        <w:rPr>
          <w:rFonts w:hint="eastAsia"/>
          <w:color w:val="auto"/>
          <w:highlight w:val="none"/>
          <w:lang w:val="en-US" w:eastAsia="zh-CN"/>
        </w:rPr>
        <w:t>提升</w:t>
      </w:r>
      <w:r>
        <w:rPr>
          <w:color w:val="auto"/>
          <w:highlight w:val="none"/>
        </w:rPr>
        <w:t>精神病人、失能病人和弱智人群</w:t>
      </w:r>
      <w:r>
        <w:rPr>
          <w:rFonts w:hint="eastAsia"/>
          <w:color w:val="auto"/>
          <w:highlight w:val="none"/>
          <w:lang w:val="en-US" w:eastAsia="zh-CN"/>
        </w:rPr>
        <w:t>收治能力</w:t>
      </w:r>
      <w:r>
        <w:rPr>
          <w:color w:val="auto"/>
          <w:highlight w:val="none"/>
        </w:rPr>
        <w:t>。</w:t>
      </w:r>
    </w:p>
    <w:p>
      <w:pPr>
        <w:bidi w:val="0"/>
        <w:rPr>
          <w:color w:val="auto"/>
          <w:highlight w:val="none"/>
        </w:rPr>
      </w:pPr>
      <w:r>
        <w:rPr>
          <w:b/>
          <w:bCs/>
          <w:color w:val="auto"/>
          <w:highlight w:val="none"/>
        </w:rPr>
        <w:t>强化医疗机构规范管理</w:t>
      </w:r>
      <w:r>
        <w:rPr>
          <w:rFonts w:hint="eastAsia"/>
          <w:b/>
          <w:bCs/>
          <w:color w:val="auto"/>
          <w:highlight w:val="none"/>
          <w:lang w:eastAsia="zh-CN"/>
        </w:rPr>
        <w:t>。</w:t>
      </w:r>
      <w:r>
        <w:rPr>
          <w:color w:val="auto"/>
          <w:highlight w:val="none"/>
        </w:rPr>
        <w:t>严格医疗机构准入校验和备案管理。持续推进院务公开，把好医护人员准入关，做好医师执业资格考试</w:t>
      </w:r>
      <w:r>
        <w:rPr>
          <w:rFonts w:hint="eastAsia"/>
          <w:color w:val="auto"/>
          <w:highlight w:val="none"/>
          <w:lang w:eastAsia="zh-CN"/>
        </w:rPr>
        <w:t>、</w:t>
      </w:r>
      <w:r>
        <w:rPr>
          <w:color w:val="auto"/>
          <w:highlight w:val="none"/>
        </w:rPr>
        <w:t>医师和护士执业注册工作，规范执业行为，维护良好的医疗秩序。深入推进医疗卫生体制改革，加强以人才、技术、重点专科为核心的能力建设，切实提高医院服务能力。做好基本药物制定实施工作</w:t>
      </w:r>
      <w:r>
        <w:rPr>
          <w:rFonts w:hint="eastAsia"/>
          <w:color w:val="auto"/>
          <w:highlight w:val="none"/>
          <w:lang w:eastAsia="zh-CN"/>
        </w:rPr>
        <w:t>，</w:t>
      </w:r>
      <w:r>
        <w:rPr>
          <w:color w:val="auto"/>
          <w:highlight w:val="none"/>
        </w:rPr>
        <w:t>提高医务人员对基本药物制度政策的认识，正确和科学使用基本药物，积极引导居民改变用药不良习惯。提高公共卫生服务均等化水平</w:t>
      </w:r>
      <w:r>
        <w:rPr>
          <w:rFonts w:hint="eastAsia"/>
          <w:color w:val="auto"/>
          <w:highlight w:val="none"/>
        </w:rPr>
        <w:t>，</w:t>
      </w:r>
      <w:r>
        <w:rPr>
          <w:color w:val="auto"/>
          <w:highlight w:val="none"/>
        </w:rPr>
        <w:t>加强以全科医生为重点的基层人才队伍建设，筑牢基层医疗卫生服务网底。</w:t>
      </w:r>
    </w:p>
    <w:p>
      <w:pPr>
        <w:bidi w:val="0"/>
        <w:rPr>
          <w:color w:val="auto"/>
          <w:highlight w:val="none"/>
        </w:rPr>
      </w:pPr>
      <w:r>
        <w:rPr>
          <w:rFonts w:hint="eastAsia"/>
          <w:b/>
          <w:bCs/>
          <w:color w:val="auto"/>
          <w:highlight w:val="none"/>
          <w:lang w:val="en-US" w:eastAsia="zh-CN"/>
        </w:rPr>
        <w:t>提升</w:t>
      </w:r>
      <w:r>
        <w:rPr>
          <w:b/>
          <w:bCs/>
          <w:color w:val="auto"/>
          <w:highlight w:val="none"/>
        </w:rPr>
        <w:t>计生服务</w:t>
      </w:r>
      <w:r>
        <w:rPr>
          <w:rFonts w:hint="eastAsia"/>
          <w:b/>
          <w:bCs/>
          <w:color w:val="auto"/>
          <w:highlight w:val="none"/>
          <w:lang w:val="en-US" w:eastAsia="zh-CN"/>
        </w:rPr>
        <w:t>水平</w:t>
      </w:r>
      <w:r>
        <w:rPr>
          <w:rFonts w:hint="eastAsia"/>
          <w:b/>
          <w:bCs/>
          <w:color w:val="auto"/>
          <w:highlight w:val="none"/>
          <w:lang w:eastAsia="zh-CN"/>
        </w:rPr>
        <w:t>。</w:t>
      </w:r>
      <w:r>
        <w:rPr>
          <w:rFonts w:hint="eastAsia"/>
          <w:b w:val="0"/>
          <w:bCs w:val="0"/>
          <w:color w:val="auto"/>
          <w:highlight w:val="none"/>
          <w:lang w:val="en-US" w:eastAsia="zh-CN"/>
        </w:rPr>
        <w:t>鼓励优生优育，从数量质量提高人口发展水平，</w:t>
      </w:r>
      <w:r>
        <w:rPr>
          <w:color w:val="auto"/>
          <w:highlight w:val="none"/>
        </w:rPr>
        <w:t>加强妇幼保健体系建设，推进计划生育基本公共服务标准化，为育龄群众提供免费优质的生殖健康服务，加强出生缺陷综合防控工作，提高出生人口素质。增加全区公共场所母婴设施配置。</w:t>
      </w:r>
    </w:p>
    <w:p>
      <w:pPr>
        <w:bidi w:val="0"/>
        <w:rPr>
          <w:color w:val="auto"/>
          <w:highlight w:val="none"/>
        </w:rPr>
      </w:pPr>
      <w:r>
        <w:rPr>
          <w:b/>
          <w:bCs/>
          <w:color w:val="auto"/>
          <w:highlight w:val="none"/>
        </w:rPr>
        <w:t>保障药品供给与安全</w:t>
      </w:r>
      <w:r>
        <w:rPr>
          <w:rFonts w:hint="eastAsia"/>
          <w:b/>
          <w:bCs/>
          <w:color w:val="auto"/>
          <w:highlight w:val="none"/>
          <w:lang w:eastAsia="zh-CN"/>
        </w:rPr>
        <w:t>。</w:t>
      </w:r>
      <w:r>
        <w:rPr>
          <w:color w:val="auto"/>
          <w:highlight w:val="none"/>
        </w:rPr>
        <w:t>巩固完善基本药物制度，适时调整基本药物配备使用政策，促进二级以上医疗机构优先配备使用基本药物。健全短缺药品储备制度和廉价、短缺药品供应保障机制，扶持基本药物生产企业发展。完善药品和医用耗材集中采购机制，提高医疗卫生机构集中采购参与度。规范药品生产流通秩序，发展药品现代物流和连锁经营，保障药品供应及时。保障药品安全，加强药品安全监督管理能力建设，依法严厉打击制售伪劣药品违法犯罪活动，建立完善药品安全举报奖励制度。</w:t>
      </w:r>
    </w:p>
    <w:p>
      <w:pPr>
        <w:bidi w:val="0"/>
        <w:rPr>
          <w:color w:val="auto"/>
          <w:highlight w:val="none"/>
        </w:rPr>
      </w:pPr>
      <w:r>
        <w:rPr>
          <w:rFonts w:hint="eastAsia"/>
          <w:b/>
          <w:bCs/>
          <w:color w:val="auto"/>
          <w:highlight w:val="none"/>
          <w:lang w:val="en-US" w:eastAsia="zh-CN"/>
        </w:rPr>
        <w:t>健全公共卫生应急管理体系。</w:t>
      </w:r>
      <w:r>
        <w:rPr>
          <w:color w:val="auto"/>
          <w:highlight w:val="none"/>
        </w:rPr>
        <w:t>健全常态化疫情防控机制，</w:t>
      </w:r>
      <w:r>
        <w:rPr>
          <w:rFonts w:hint="eastAsia"/>
          <w:color w:val="auto"/>
          <w:highlight w:val="none"/>
        </w:rPr>
        <w:t>完善重大疫情防控体制机制，</w:t>
      </w:r>
      <w:r>
        <w:rPr>
          <w:color w:val="auto"/>
          <w:highlight w:val="none"/>
        </w:rPr>
        <w:t>强化医疗卫生物资储备，完善突发公共卫生事件应急机制。按照平战结合原则，及时升级改造二级及以上医院发热门诊和增设传染病区，按照一定比例设置重症监护病房，加强综合医院传染病防控救治能力建设。</w:t>
      </w:r>
      <w:r>
        <w:rPr>
          <w:rFonts w:hint="eastAsia"/>
          <w:color w:val="auto"/>
          <w:highlight w:val="none"/>
        </w:rPr>
        <w:t>以“医联体建设”为抓手，大力推进医疗基础卫生设施建设和公共卫生人才队伍建设，</w:t>
      </w:r>
      <w:r>
        <w:rPr>
          <w:rFonts w:hint="eastAsia"/>
          <w:color w:val="auto"/>
          <w:highlight w:val="none"/>
          <w:lang w:val="en-US" w:eastAsia="zh-CN"/>
        </w:rPr>
        <w:t>推进农村公建卫生站建设，</w:t>
      </w:r>
      <w:r>
        <w:rPr>
          <w:rFonts w:hint="eastAsia"/>
          <w:color w:val="auto"/>
          <w:highlight w:val="none"/>
        </w:rPr>
        <w:t>加快发热门诊规范化建设，健全区镇村三级联动应急处置机制，强化应急物资保障，全面提高应对重大突发公共卫生事件的能力水平。</w:t>
      </w:r>
    </w:p>
    <w:p>
      <w:pPr>
        <w:pStyle w:val="4"/>
        <w:spacing w:before="62" w:after="62"/>
        <w:ind w:firstLine="0"/>
        <w:jc w:val="center"/>
        <w:rPr>
          <w:rFonts w:hint="default" w:ascii="宋体" w:hAnsi="宋体"/>
          <w:color w:val="auto"/>
          <w:highlight w:val="none"/>
        </w:rPr>
      </w:pPr>
      <w:bookmarkStart w:id="292" w:name="_Toc18358"/>
      <w:r>
        <w:rPr>
          <w:rFonts w:hint="default" w:ascii="宋体" w:hAnsi="宋体"/>
          <w:color w:val="auto"/>
          <w:highlight w:val="none"/>
        </w:rPr>
        <w:t>第六节 保障妇女儿童基本权益</w:t>
      </w:r>
      <w:bookmarkEnd w:id="292"/>
    </w:p>
    <w:p>
      <w:pPr>
        <w:keepNext w:val="0"/>
        <w:keepLines w:val="0"/>
        <w:pageBreakBefore w:val="0"/>
        <w:widowControl w:val="0"/>
        <w:kinsoku/>
        <w:wordWrap/>
        <w:overflowPunct/>
        <w:topLinePunct w:val="0"/>
        <w:autoSpaceDE/>
        <w:autoSpaceDN/>
        <w:bidi w:val="0"/>
        <w:adjustRightInd/>
        <w:snapToGrid/>
        <w:ind w:firstLine="640"/>
        <w:textAlignment w:val="auto"/>
        <w:rPr>
          <w:color w:val="auto"/>
          <w:highlight w:val="none"/>
        </w:rPr>
      </w:pPr>
      <w:r>
        <w:rPr>
          <w:color w:val="auto"/>
          <w:highlight w:val="none"/>
        </w:rPr>
        <w:t>贯彻落实男女平等宪法原则和基本国策，坚持儿童优先原则，切实加强妇女儿童等社会群体权益保护，促进社会共建共治共享经济社会发展成果。</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color w:val="auto"/>
          <w:highlight w:val="none"/>
        </w:rPr>
      </w:pPr>
      <w:r>
        <w:rPr>
          <w:b/>
          <w:bCs/>
          <w:color w:val="auto"/>
          <w:highlight w:val="none"/>
        </w:rPr>
        <w:t>促进妇女全面发展</w:t>
      </w:r>
      <w:r>
        <w:rPr>
          <w:rFonts w:hint="eastAsia"/>
          <w:b/>
          <w:bCs/>
          <w:color w:val="auto"/>
          <w:highlight w:val="none"/>
          <w:lang w:eastAsia="zh-CN"/>
        </w:rPr>
        <w:t>。</w:t>
      </w:r>
      <w:r>
        <w:rPr>
          <w:color w:val="auto"/>
          <w:highlight w:val="none"/>
        </w:rPr>
        <w:t>加强对妇女的思想政治引领，健全法规政策性别平等评估咨询机制，保障妇女平等获得就学、就业、社会保障、婚姻家庭财产、参与社会事务等权利和机会，保障农村妇女土地权益和集体经济组织成员待遇，提高妇女参与决策管理水平。加强妇女劳动保护、卫生保健、生育关怀、社会福利、法律援助等工作。面向城乡适龄妇女开展乳腺癌、宫颈癌免费筛查，提高救治力度。建立健全贫困妇女、残疾妇女、留守妇女等困难妇女关爱服务体系。严厉打击侵害妇女儿童违法犯罪行为。消除对妇女的歧视和偏见，制定和落实重大公共事件中加强妇女特殊保护的相关政策措施，制定分性别统计制度，改善妇女发展环境。</w:t>
      </w:r>
    </w:p>
    <w:p>
      <w:pPr>
        <w:numPr>
          <w:ilvl w:val="0"/>
          <w:numId w:val="0"/>
        </w:numPr>
        <w:bidi w:val="0"/>
        <w:ind w:firstLine="643" w:firstLineChars="200"/>
        <w:rPr>
          <w:color w:val="auto"/>
          <w:highlight w:val="none"/>
        </w:rPr>
      </w:pPr>
      <w:r>
        <w:rPr>
          <w:b/>
          <w:bCs/>
          <w:color w:val="auto"/>
          <w:highlight w:val="none"/>
        </w:rPr>
        <w:t>关爱儿童健康成长</w:t>
      </w:r>
      <w:r>
        <w:rPr>
          <w:rFonts w:hint="eastAsia"/>
          <w:b/>
          <w:bCs/>
          <w:color w:val="auto"/>
          <w:highlight w:val="none"/>
          <w:lang w:eastAsia="zh-CN"/>
        </w:rPr>
        <w:t>。</w:t>
      </w:r>
      <w:r>
        <w:rPr>
          <w:color w:val="auto"/>
          <w:highlight w:val="none"/>
        </w:rPr>
        <w:t>加强儿童思想道德教育和劳动教育，保障儿童生存、发展、受保护和参与权利，全面提升儿童综合素质。多元化促进</w:t>
      </w:r>
      <w:r>
        <w:rPr>
          <w:rFonts w:hint="eastAsia" w:ascii="Times New Roman" w:hAnsi="Times New Roman"/>
          <w:color w:val="auto"/>
          <w:highlight w:val="none"/>
          <w:lang w:eastAsia="zh-CN"/>
        </w:rPr>
        <w:t>3</w:t>
      </w:r>
      <w:r>
        <w:rPr>
          <w:color w:val="auto"/>
          <w:highlight w:val="none"/>
        </w:rPr>
        <w:t>岁以下婴幼儿照护服务体系建设。完善未成年人监护制度，健全儿童保护与服务体系。保障儿童身心健康，促进儿童在德智体美劳各方面实现全面发展。开展中小学性别平等教育工作，推进儿童友好型城市建设。提升儿童食品用品质量安全水平，降低儿童意外伤害死亡率，加强儿童网络保护，加强留守、流动、困境儿童关爱保护。</w:t>
      </w:r>
    </w:p>
    <w:p>
      <w:pPr>
        <w:bidi w:val="0"/>
        <w:rPr>
          <w:color w:val="auto"/>
          <w:highlight w:val="none"/>
        </w:rPr>
      </w:pPr>
      <w:r>
        <w:rPr>
          <w:rFonts w:hint="eastAsia"/>
          <w:b/>
          <w:bCs/>
          <w:color w:val="auto"/>
          <w:highlight w:val="none"/>
        </w:rPr>
        <w:t>促进青少年全面健康成长。</w:t>
      </w:r>
      <w:r>
        <w:rPr>
          <w:rFonts w:hint="eastAsia"/>
          <w:color w:val="auto"/>
          <w:highlight w:val="none"/>
        </w:rPr>
        <w:t>加强青少年思想政治引领，深化“青年大学习”行动，开展“最美坡头少年”“新时代好少年”等选树</w:t>
      </w:r>
      <w:r>
        <w:rPr>
          <w:rFonts w:hint="eastAsia"/>
          <w:color w:val="auto"/>
          <w:highlight w:val="none"/>
          <w:lang w:val="en-US" w:eastAsia="zh-CN"/>
        </w:rPr>
        <w:t>榜样</w:t>
      </w:r>
      <w:r>
        <w:rPr>
          <w:rFonts w:hint="eastAsia"/>
          <w:color w:val="auto"/>
          <w:highlight w:val="none"/>
        </w:rPr>
        <w:t>活动，培养青少年社会主义核心价值观。将中小学共青团工作和少先队工作纳入党建督导考核、教育督导和教师继续教育课程体系，落实中小学开展每周</w:t>
      </w:r>
      <w:r>
        <w:rPr>
          <w:rFonts w:hint="eastAsia" w:ascii="Times New Roman" w:hAnsi="Times New Roman"/>
          <w:color w:val="auto"/>
          <w:highlight w:val="none"/>
          <w:lang w:eastAsia="zh-CN"/>
        </w:rPr>
        <w:t>1</w:t>
      </w:r>
      <w:r>
        <w:rPr>
          <w:rFonts w:hint="eastAsia"/>
          <w:color w:val="auto"/>
          <w:highlight w:val="none"/>
        </w:rPr>
        <w:t>课时的少先队活动课等制度。设立中学共青团、少先队辅导员导师团，广泛开展大中专学生“三下乡”、科技创新、志愿服务等实践活动。加强对青少年的体质健康监测，关注和服务重点青少年群体的心理健康。综合防控青少年近视，力争实现近视率每年降低</w:t>
      </w:r>
      <w:r>
        <w:rPr>
          <w:rFonts w:hint="eastAsia" w:ascii="Times New Roman" w:hAnsi="Times New Roman"/>
          <w:color w:val="auto"/>
          <w:highlight w:val="none"/>
          <w:lang w:eastAsia="zh-CN"/>
        </w:rPr>
        <w:t>0.5</w:t>
      </w:r>
      <w:r>
        <w:rPr>
          <w:rFonts w:hint="eastAsia"/>
          <w:color w:val="auto"/>
          <w:highlight w:val="none"/>
        </w:rPr>
        <w:t>个百分点的目标。</w:t>
      </w:r>
    </w:p>
    <w:p>
      <w:pPr>
        <w:bidi w:val="0"/>
        <w:rPr>
          <w:color w:val="auto"/>
          <w:highlight w:val="none"/>
        </w:rPr>
      </w:pPr>
      <w:r>
        <w:rPr>
          <w:b/>
          <w:bCs/>
          <w:color w:val="auto"/>
          <w:highlight w:val="none"/>
        </w:rPr>
        <w:t>加强家庭建设</w:t>
      </w:r>
      <w:r>
        <w:rPr>
          <w:rFonts w:hint="eastAsia"/>
          <w:b/>
          <w:bCs/>
          <w:color w:val="auto"/>
          <w:highlight w:val="none"/>
          <w:lang w:eastAsia="zh-CN"/>
        </w:rPr>
        <w:t>。</w:t>
      </w:r>
      <w:r>
        <w:rPr>
          <w:color w:val="auto"/>
          <w:highlight w:val="none"/>
        </w:rPr>
        <w:t>注重家庭、家教、家风，推动家庭文明、家庭教育、家庭服务工作。建立完善促进男女平等的家庭政策体系，推动完善生育支持、儿童养育教育、赡养老人、特殊家庭救助关爱等政策，形成支持实现家庭基本功能，增强家庭发展能力。建立家庭教育工作机制，构建家庭教育服务体系，推动家校社协同育人。预防和制止家庭暴力，保护家庭成员的合法权益。倡导构建男女平等、和睦、文明的婚姻家庭关系，促进夫妻共同承担儿童的抚养、教育、保护责任，支持家庭承担赡养老人责任。开发和提供支持家庭与妇女全面发展的公共服务。促进家庭成员践行社会主义核心价值观，推动形成爱国爱家、向上向善的家庭文明新风尚。提倡艰苦奋斗、勤俭节约，在全社会营造浪费可耻、节约光荣的浓厚氛围。</w:t>
      </w:r>
    </w:p>
    <w:p>
      <w:pPr>
        <w:pStyle w:val="4"/>
        <w:spacing w:before="62" w:after="62"/>
        <w:ind w:firstLine="0"/>
        <w:jc w:val="center"/>
        <w:rPr>
          <w:rFonts w:hint="default" w:ascii="宋体" w:hAnsi="宋体"/>
          <w:color w:val="auto"/>
          <w:highlight w:val="none"/>
        </w:rPr>
      </w:pPr>
      <w:bookmarkStart w:id="293" w:name="_Toc15239"/>
      <w:r>
        <w:rPr>
          <w:rFonts w:hint="default" w:ascii="宋体" w:hAnsi="宋体"/>
          <w:color w:val="auto"/>
          <w:highlight w:val="none"/>
        </w:rPr>
        <w:t xml:space="preserve">第七节 </w:t>
      </w:r>
      <w:r>
        <w:rPr>
          <w:rFonts w:hint="eastAsia" w:ascii="宋体" w:hAnsi="宋体"/>
          <w:color w:val="auto"/>
          <w:highlight w:val="none"/>
          <w:lang w:val="en-US" w:eastAsia="zh-CN"/>
        </w:rPr>
        <w:t>繁荣</w:t>
      </w:r>
      <w:r>
        <w:rPr>
          <w:rFonts w:hint="default" w:ascii="宋体" w:hAnsi="宋体"/>
          <w:color w:val="auto"/>
          <w:highlight w:val="none"/>
        </w:rPr>
        <w:t>文化和体育事业</w:t>
      </w:r>
      <w:bookmarkEnd w:id="293"/>
    </w:p>
    <w:p>
      <w:pPr>
        <w:ind w:firstLine="640"/>
        <w:rPr>
          <w:color w:val="auto"/>
          <w:highlight w:val="none"/>
        </w:rPr>
      </w:pPr>
      <w:r>
        <w:rPr>
          <w:color w:val="auto"/>
          <w:highlight w:val="none"/>
        </w:rPr>
        <w:t>统筹推进文化事业、体育事业全面繁荣，显著提升全区人民的身体素质与文化素养</w:t>
      </w:r>
      <w:r>
        <w:rPr>
          <w:rFonts w:hint="eastAsia"/>
          <w:color w:val="auto"/>
          <w:highlight w:val="none"/>
          <w:lang w:eastAsia="zh-CN"/>
        </w:rPr>
        <w:t>，</w:t>
      </w:r>
      <w:r>
        <w:rPr>
          <w:rFonts w:hint="eastAsia"/>
          <w:color w:val="auto"/>
          <w:highlight w:val="none"/>
        </w:rPr>
        <w:t>提升社会文明程度。</w:t>
      </w:r>
    </w:p>
    <w:p>
      <w:pPr>
        <w:bidi w:val="0"/>
        <w:rPr>
          <w:color w:val="auto"/>
          <w:highlight w:val="none"/>
        </w:rPr>
      </w:pPr>
      <w:r>
        <w:rPr>
          <w:b/>
          <w:bCs/>
          <w:color w:val="auto"/>
          <w:highlight w:val="none"/>
        </w:rPr>
        <w:t>完善公共文体服务设施</w:t>
      </w:r>
      <w:r>
        <w:rPr>
          <w:rFonts w:hint="eastAsia"/>
          <w:b/>
          <w:bCs/>
          <w:color w:val="auto"/>
          <w:highlight w:val="none"/>
          <w:lang w:eastAsia="zh-CN"/>
        </w:rPr>
        <w:t>。</w:t>
      </w:r>
      <w:r>
        <w:rPr>
          <w:rFonts w:hint="eastAsia"/>
          <w:color w:val="auto"/>
          <w:highlight w:val="none"/>
        </w:rPr>
        <w:t>新建和完善一批公共文体设施，加快建设</w:t>
      </w:r>
      <w:r>
        <w:rPr>
          <w:rFonts w:hint="eastAsia"/>
          <w:color w:val="auto"/>
          <w:highlight w:val="none"/>
          <w:lang w:eastAsia="zh-CN"/>
        </w:rPr>
        <w:t>“</w:t>
      </w:r>
      <w:r>
        <w:rPr>
          <w:rFonts w:hint="eastAsia"/>
          <w:color w:val="auto"/>
          <w:highlight w:val="none"/>
        </w:rPr>
        <w:t>三馆</w:t>
      </w:r>
      <w:r>
        <w:rPr>
          <w:rFonts w:hint="eastAsia"/>
          <w:color w:val="auto"/>
          <w:highlight w:val="none"/>
          <w:lang w:eastAsia="zh-CN"/>
        </w:rPr>
        <w:t>”</w:t>
      </w:r>
      <w:r>
        <w:rPr>
          <w:rFonts w:hint="eastAsia"/>
          <w:color w:val="auto"/>
          <w:highlight w:val="none"/>
        </w:rPr>
        <w:t>，推动工人文化宫规划建设</w:t>
      </w:r>
      <w:r>
        <w:rPr>
          <w:rFonts w:hint="eastAsia"/>
          <w:color w:val="auto"/>
          <w:highlight w:val="none"/>
          <w:lang w:eastAsia="zh-CN"/>
        </w:rPr>
        <w:t>，</w:t>
      </w:r>
      <w:r>
        <w:rPr>
          <w:rFonts w:hint="eastAsia"/>
          <w:color w:val="auto"/>
          <w:highlight w:val="none"/>
        </w:rPr>
        <w:t>进一步推进全民健身路径、社区体育公园、绿道、全民健身广场等公共体育场地设施建设，为公共文化场所扩容提质，打造高品质城市文化空间奠定基础</w:t>
      </w:r>
      <w:r>
        <w:rPr>
          <w:color w:val="auto"/>
          <w:highlight w:val="none"/>
        </w:rPr>
        <w:t>。打造城市文体活动品牌。推出年度城市</w:t>
      </w:r>
      <w:r>
        <w:rPr>
          <w:rFonts w:hint="eastAsia"/>
          <w:color w:val="auto"/>
          <w:highlight w:val="none"/>
        </w:rPr>
        <w:t>“</w:t>
      </w:r>
      <w:r>
        <w:rPr>
          <w:color w:val="auto"/>
          <w:highlight w:val="none"/>
        </w:rPr>
        <w:t>文化菜单</w:t>
      </w:r>
      <w:r>
        <w:rPr>
          <w:rFonts w:hint="eastAsia"/>
          <w:color w:val="auto"/>
          <w:highlight w:val="none"/>
        </w:rPr>
        <w:t>”</w:t>
      </w:r>
      <w:r>
        <w:rPr>
          <w:color w:val="auto"/>
          <w:highlight w:val="none"/>
        </w:rPr>
        <w:t>，实施全民艺术普及行动计划，策划疫情后的</w:t>
      </w:r>
      <w:r>
        <w:rPr>
          <w:rFonts w:hint="eastAsia"/>
          <w:color w:val="auto"/>
          <w:highlight w:val="none"/>
        </w:rPr>
        <w:t>“</w:t>
      </w:r>
      <w:r>
        <w:rPr>
          <w:color w:val="auto"/>
          <w:highlight w:val="none"/>
        </w:rPr>
        <w:t>送戏下乡</w:t>
      </w:r>
      <w:r>
        <w:rPr>
          <w:rFonts w:hint="eastAsia"/>
          <w:color w:val="auto"/>
          <w:highlight w:val="none"/>
        </w:rPr>
        <w:t>”</w:t>
      </w:r>
      <w:r>
        <w:rPr>
          <w:color w:val="auto"/>
          <w:highlight w:val="none"/>
        </w:rPr>
        <w:t>等创文活动，丰富群众精神文化生活。推动本土戏曲传承发展，不断擦亮</w:t>
      </w:r>
      <w:r>
        <w:rPr>
          <w:rFonts w:hint="eastAsia"/>
          <w:color w:val="auto"/>
          <w:highlight w:val="none"/>
        </w:rPr>
        <w:t>“</w:t>
      </w:r>
      <w:r>
        <w:rPr>
          <w:color w:val="auto"/>
          <w:highlight w:val="none"/>
        </w:rPr>
        <w:t>粤剧黄金周</w:t>
      </w:r>
      <w:r>
        <w:rPr>
          <w:rFonts w:hint="eastAsia"/>
          <w:color w:val="auto"/>
          <w:highlight w:val="none"/>
        </w:rPr>
        <w:t>”</w:t>
      </w:r>
      <w:r>
        <w:rPr>
          <w:color w:val="auto"/>
          <w:highlight w:val="none"/>
        </w:rPr>
        <w:t>、活动品牌，深入开展</w:t>
      </w:r>
      <w:r>
        <w:rPr>
          <w:rFonts w:hint="eastAsia"/>
          <w:color w:val="auto"/>
          <w:highlight w:val="none"/>
        </w:rPr>
        <w:t>“</w:t>
      </w:r>
      <w:r>
        <w:rPr>
          <w:color w:val="auto"/>
          <w:highlight w:val="none"/>
        </w:rPr>
        <w:t>戏曲进校园</w:t>
      </w:r>
      <w:r>
        <w:rPr>
          <w:rFonts w:hint="eastAsia"/>
          <w:color w:val="auto"/>
          <w:highlight w:val="none"/>
        </w:rPr>
        <w:t>”</w:t>
      </w:r>
      <w:r>
        <w:rPr>
          <w:color w:val="auto"/>
          <w:highlight w:val="none"/>
        </w:rPr>
        <w:t>活动，促进本土戏曲活起来、传下去、出精品、出名家。加快南三岛国家级运动休闲特色小镇建设。抢抓运动休闲产业发展先机，以南三岛体育小镇建设为切入点，聚力打造以南三岛为重点的运动休闲产业经济聚集区，使其成为全区、全市乃至全省的体育经济引擎和标杆。</w:t>
      </w:r>
      <w:r>
        <w:rPr>
          <w:rFonts w:hint="eastAsia"/>
          <w:color w:val="auto"/>
          <w:highlight w:val="none"/>
        </w:rPr>
        <w:t>丰富地方志工作“存史、资政、育人”内涵</w:t>
      </w:r>
      <w:r>
        <w:rPr>
          <w:rFonts w:hint="eastAsia"/>
          <w:color w:val="auto"/>
          <w:highlight w:val="none"/>
          <w:lang w:eastAsia="zh-CN"/>
        </w:rPr>
        <w:t>，</w:t>
      </w:r>
      <w:r>
        <w:rPr>
          <w:rFonts w:hint="eastAsia"/>
          <w:color w:val="auto"/>
          <w:highlight w:val="none"/>
        </w:rPr>
        <w:t>有序推进《坡头区志》编纂及出版工作</w:t>
      </w:r>
      <w:r>
        <w:rPr>
          <w:rFonts w:hint="eastAsia"/>
          <w:color w:val="auto"/>
          <w:highlight w:val="none"/>
          <w:lang w:eastAsia="zh-CN"/>
        </w:rPr>
        <w:t>，</w:t>
      </w:r>
      <w:r>
        <w:rPr>
          <w:rFonts w:hint="eastAsia"/>
          <w:color w:val="auto"/>
          <w:highlight w:val="none"/>
        </w:rPr>
        <w:t>稳步推进方志馆建设</w:t>
      </w:r>
      <w:r>
        <w:rPr>
          <w:rFonts w:hint="eastAsia"/>
          <w:color w:val="auto"/>
          <w:highlight w:val="none"/>
          <w:lang w:eastAsia="zh-CN"/>
        </w:rPr>
        <w:t>，</w:t>
      </w:r>
      <w:r>
        <w:rPr>
          <w:rFonts w:hint="eastAsia"/>
          <w:color w:val="auto"/>
          <w:highlight w:val="none"/>
        </w:rPr>
        <w:t>规范建设地情网站及数字方志馆。</w:t>
      </w:r>
    </w:p>
    <w:p>
      <w:pPr>
        <w:bidi w:val="0"/>
        <w:rPr>
          <w:color w:val="auto"/>
          <w:highlight w:val="none"/>
        </w:rPr>
      </w:pPr>
      <w:r>
        <w:rPr>
          <w:b/>
          <w:bCs/>
          <w:color w:val="auto"/>
          <w:highlight w:val="none"/>
        </w:rPr>
        <w:t>推动文博市场产业化</w:t>
      </w:r>
      <w:r>
        <w:rPr>
          <w:rFonts w:hint="eastAsia"/>
          <w:b/>
          <w:bCs/>
          <w:color w:val="auto"/>
          <w:highlight w:val="none"/>
          <w:lang w:eastAsia="zh-CN"/>
        </w:rPr>
        <w:t>。</w:t>
      </w:r>
      <w:r>
        <w:rPr>
          <w:color w:val="auto"/>
          <w:highlight w:val="none"/>
        </w:rPr>
        <w:t>加强文博保护与利用，制定乡村文物、革命文物保护利用工作指引，科学有序引导和推动文物保护与活化利用工作。建立和完善文物安全防范长效机制，加强文物安全巡查、检查与督查，守住文物安全底线、红线和生命线。引导各镇街（园区），结合乡村振兴，强化文物建筑活化利用，将文物建筑的文化传承功能、景观功能与文化展示游览、公共服务活动结合起来。推动非遗传承与保护。构建现代非遗传承保护体系，通过完善制度设计、扩大交流合作、跨界融合发展、借助高科技手段、加强非遗理论研究等措施，深化工作内涵，提升非遗保护工作水平，推动非遗项目成功申报和可持续发展。加大传承人保护力度，建立传承人保护机制。</w:t>
      </w:r>
      <w:r>
        <w:rPr>
          <w:rFonts w:hint="eastAsia"/>
          <w:color w:val="auto"/>
          <w:highlight w:val="none"/>
        </w:rPr>
        <w:t>打造坡头镇</w:t>
      </w:r>
      <w:r>
        <w:rPr>
          <w:rFonts w:hint="eastAsia"/>
          <w:b w:val="0"/>
          <w:bCs w:val="0"/>
          <w:color w:val="auto"/>
          <w:highlight w:val="none"/>
        </w:rPr>
        <w:t>足球小镇和南三河滨海旅游小镇</w:t>
      </w:r>
      <w:r>
        <w:rPr>
          <w:rFonts w:hint="eastAsia"/>
          <w:color w:val="auto"/>
          <w:highlight w:val="none"/>
        </w:rPr>
        <w:t>。</w:t>
      </w:r>
    </w:p>
    <w:p>
      <w:pPr>
        <w:numPr>
          <w:ilvl w:val="0"/>
          <w:numId w:val="0"/>
        </w:numPr>
        <w:bidi w:val="0"/>
        <w:ind w:firstLine="643" w:firstLineChars="200"/>
        <w:rPr>
          <w:color w:val="auto"/>
          <w:highlight w:val="none"/>
        </w:rPr>
      </w:pPr>
      <w:r>
        <w:rPr>
          <w:rFonts w:hint="eastAsia"/>
          <w:b/>
          <w:bCs/>
          <w:color w:val="auto"/>
          <w:highlight w:val="none"/>
        </w:rPr>
        <w:t>加快体育强区建设</w:t>
      </w:r>
      <w:r>
        <w:rPr>
          <w:rFonts w:hint="eastAsia"/>
          <w:b/>
          <w:bCs/>
          <w:color w:val="auto"/>
          <w:highlight w:val="none"/>
          <w:lang w:eastAsia="zh-CN"/>
        </w:rPr>
        <w:t>。</w:t>
      </w:r>
      <w:r>
        <w:rPr>
          <w:rFonts w:hint="eastAsia"/>
          <w:color w:val="auto"/>
          <w:highlight w:val="none"/>
        </w:rPr>
        <w:t>发展群众体育，组织开展全民健身活动。办好各类群众性体育活动，普及田径、羽毛球、足球、排球等体育活动项目。拓展开发公园体育、广场体育、绿道体育、社区体育等活动，积极举办单项体育交流及综合性运动会。大力弘扬坡头体育文化，提升全民健身科学化服务水平。深化体教融合，加强坡头区业余体育学校建设，巩固发展优势体育项目，推进青少年体育高质量发展。</w:t>
      </w:r>
    </w:p>
    <w:tbl>
      <w:tblPr>
        <w:tblStyle w:val="14"/>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40" w:type="dxa"/>
            <w:vAlign w:val="center"/>
          </w:tcPr>
          <w:p>
            <w:pPr>
              <w:ind w:firstLine="0" w:firstLineChars="0"/>
              <w:jc w:val="center"/>
              <w:rPr>
                <w:color w:val="auto"/>
                <w:highlight w:val="none"/>
              </w:rPr>
            </w:pPr>
            <w:r>
              <w:rPr>
                <w:rFonts w:eastAsia="宋体"/>
                <w:b/>
                <w:bCs/>
                <w:color w:val="auto"/>
                <w:sz w:val="28"/>
                <w:szCs w:val="18"/>
                <w:highlight w:val="none"/>
              </w:rPr>
              <w:t>专栏</w:t>
            </w:r>
            <w:r>
              <w:rPr>
                <w:rFonts w:hint="eastAsia" w:ascii="Times New Roman" w:hAnsi="Times New Roman" w:eastAsia="宋体"/>
                <w:b/>
                <w:bCs/>
                <w:color w:val="auto"/>
                <w:sz w:val="28"/>
                <w:szCs w:val="18"/>
                <w:highlight w:val="none"/>
                <w:lang w:val="en-US" w:eastAsia="zh-CN"/>
              </w:rPr>
              <w:t>10</w:t>
            </w:r>
            <w:r>
              <w:rPr>
                <w:rFonts w:eastAsia="宋体"/>
                <w:b/>
                <w:bCs/>
                <w:color w:val="auto"/>
                <w:sz w:val="28"/>
                <w:szCs w:val="18"/>
                <w:highlight w:val="none"/>
              </w:rPr>
              <w:t>：重大民生工程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3" w:hRule="atLeast"/>
          <w:jc w:val="center"/>
        </w:trPr>
        <w:tc>
          <w:tcPr>
            <w:tcW w:w="8340" w:type="dxa"/>
          </w:tcPr>
          <w:p>
            <w:pPr>
              <w:spacing w:line="500" w:lineRule="exact"/>
              <w:ind w:firstLine="0" w:firstLineChars="0"/>
              <w:rPr>
                <w:rFonts w:eastAsia="宋体"/>
                <w:b/>
                <w:bCs/>
                <w:color w:val="auto"/>
                <w:sz w:val="24"/>
                <w:szCs w:val="24"/>
                <w:highlight w:val="none"/>
              </w:rPr>
            </w:pPr>
            <w:r>
              <w:rPr>
                <w:rFonts w:hint="eastAsia" w:ascii="Times New Roman" w:hAnsi="Times New Roman" w:eastAsia="宋体"/>
                <w:b/>
                <w:bCs/>
                <w:color w:val="auto"/>
                <w:sz w:val="24"/>
                <w:szCs w:val="24"/>
                <w:highlight w:val="none"/>
                <w:lang w:eastAsia="zh-CN"/>
              </w:rPr>
              <w:t>1</w:t>
            </w:r>
            <w:r>
              <w:rPr>
                <w:rFonts w:hint="eastAsia" w:eastAsia="宋体"/>
                <w:b/>
                <w:bCs/>
                <w:color w:val="auto"/>
                <w:sz w:val="24"/>
                <w:szCs w:val="24"/>
                <w:highlight w:val="none"/>
                <w:lang w:val="en-US" w:eastAsia="zh-CN"/>
              </w:rPr>
              <w:t xml:space="preserve">. </w:t>
            </w:r>
            <w:r>
              <w:rPr>
                <w:rFonts w:eastAsia="宋体"/>
                <w:b/>
                <w:bCs/>
                <w:color w:val="auto"/>
                <w:sz w:val="24"/>
                <w:szCs w:val="24"/>
                <w:highlight w:val="none"/>
              </w:rPr>
              <w:t>教育现代化：</w:t>
            </w:r>
            <w:r>
              <w:rPr>
                <w:rFonts w:eastAsia="宋体"/>
                <w:color w:val="auto"/>
                <w:sz w:val="24"/>
                <w:szCs w:val="24"/>
                <w:highlight w:val="none"/>
              </w:rPr>
              <w:t>新增公办幼儿园</w:t>
            </w:r>
            <w:r>
              <w:rPr>
                <w:rFonts w:hint="eastAsia" w:ascii="Times New Roman" w:hAnsi="Times New Roman" w:eastAsia="宋体"/>
                <w:color w:val="auto"/>
                <w:sz w:val="24"/>
                <w:szCs w:val="24"/>
                <w:highlight w:val="none"/>
                <w:lang w:eastAsia="zh-CN"/>
              </w:rPr>
              <w:t>8</w:t>
            </w:r>
            <w:r>
              <w:rPr>
                <w:rFonts w:eastAsia="宋体"/>
                <w:color w:val="auto"/>
                <w:sz w:val="24"/>
                <w:szCs w:val="24"/>
                <w:highlight w:val="none"/>
              </w:rPr>
              <w:t>所，新增公办幼儿园学位</w:t>
            </w:r>
            <w:r>
              <w:rPr>
                <w:rFonts w:hint="eastAsia" w:ascii="Times New Roman" w:hAnsi="Times New Roman" w:eastAsia="宋体"/>
                <w:color w:val="auto"/>
                <w:sz w:val="24"/>
                <w:szCs w:val="24"/>
                <w:highlight w:val="none"/>
                <w:lang w:eastAsia="zh-CN"/>
              </w:rPr>
              <w:t>2400</w:t>
            </w:r>
            <w:r>
              <w:rPr>
                <w:rFonts w:eastAsia="宋体"/>
                <w:color w:val="auto"/>
                <w:sz w:val="24"/>
                <w:szCs w:val="24"/>
                <w:highlight w:val="none"/>
              </w:rPr>
              <w:t>个，完成</w:t>
            </w:r>
            <w:r>
              <w:rPr>
                <w:rFonts w:hint="eastAsia" w:ascii="Times New Roman" w:hAnsi="Times New Roman" w:eastAsia="宋体"/>
                <w:color w:val="auto"/>
                <w:sz w:val="24"/>
                <w:szCs w:val="24"/>
                <w:highlight w:val="none"/>
                <w:lang w:eastAsia="zh-CN"/>
              </w:rPr>
              <w:t>10</w:t>
            </w:r>
            <w:r>
              <w:rPr>
                <w:rFonts w:eastAsia="宋体"/>
                <w:color w:val="auto"/>
                <w:sz w:val="24"/>
                <w:szCs w:val="24"/>
                <w:highlight w:val="none"/>
              </w:rPr>
              <w:t>所学校升级改建工程</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形成高质量教育体系</w:t>
            </w:r>
            <w:r>
              <w:rPr>
                <w:rFonts w:eastAsia="宋体"/>
                <w:color w:val="auto"/>
                <w:sz w:val="24"/>
                <w:szCs w:val="24"/>
                <w:highlight w:val="none"/>
              </w:rPr>
              <w:t>。</w:t>
            </w:r>
          </w:p>
          <w:p>
            <w:pPr>
              <w:spacing w:line="500" w:lineRule="exact"/>
              <w:ind w:firstLine="0" w:firstLineChars="0"/>
              <w:rPr>
                <w:rFonts w:hint="default" w:eastAsia="宋体"/>
                <w:b/>
                <w:bCs/>
                <w:color w:val="auto"/>
                <w:sz w:val="24"/>
                <w:szCs w:val="24"/>
                <w:highlight w:val="none"/>
                <w:lang w:val="en-US" w:eastAsia="zh-CN"/>
              </w:rPr>
            </w:pPr>
            <w:r>
              <w:rPr>
                <w:rFonts w:hint="eastAsia" w:ascii="Times New Roman" w:hAnsi="Times New Roman" w:eastAsia="宋体"/>
                <w:b/>
                <w:bCs/>
                <w:color w:val="auto"/>
                <w:sz w:val="24"/>
                <w:szCs w:val="24"/>
                <w:highlight w:val="none"/>
                <w:lang w:eastAsia="zh-CN"/>
              </w:rPr>
              <w:t>2</w:t>
            </w:r>
            <w:r>
              <w:rPr>
                <w:rFonts w:hint="eastAsia" w:eastAsia="宋体"/>
                <w:b/>
                <w:bCs/>
                <w:color w:val="auto"/>
                <w:sz w:val="24"/>
                <w:szCs w:val="24"/>
                <w:highlight w:val="none"/>
                <w:lang w:val="en-US" w:eastAsia="zh-CN"/>
              </w:rPr>
              <w:t xml:space="preserve">. </w:t>
            </w:r>
            <w:r>
              <w:rPr>
                <w:rFonts w:eastAsia="宋体"/>
                <w:b/>
                <w:bCs/>
                <w:color w:val="auto"/>
                <w:sz w:val="24"/>
                <w:szCs w:val="24"/>
                <w:highlight w:val="none"/>
              </w:rPr>
              <w:t>医疗卫生服务：</w:t>
            </w:r>
            <w:r>
              <w:rPr>
                <w:rFonts w:hint="eastAsia" w:eastAsia="宋体"/>
                <w:color w:val="auto"/>
                <w:sz w:val="24"/>
                <w:szCs w:val="24"/>
                <w:highlight w:val="none"/>
              </w:rPr>
              <w:t>新增</w:t>
            </w:r>
            <w:r>
              <w:rPr>
                <w:rFonts w:hint="eastAsia" w:ascii="Times New Roman" w:hAnsi="Times New Roman" w:eastAsia="宋体"/>
                <w:color w:val="auto"/>
                <w:sz w:val="24"/>
                <w:szCs w:val="24"/>
                <w:highlight w:val="none"/>
                <w:lang w:val="en-US" w:eastAsia="zh-CN"/>
              </w:rPr>
              <w:t>1</w:t>
            </w:r>
            <w:r>
              <w:rPr>
                <w:rFonts w:hint="eastAsia" w:eastAsia="宋体"/>
                <w:color w:val="auto"/>
                <w:sz w:val="24"/>
                <w:szCs w:val="24"/>
                <w:highlight w:val="none"/>
              </w:rPr>
              <w:t>所公立中医院，</w:t>
            </w:r>
            <w:r>
              <w:rPr>
                <w:rFonts w:hint="eastAsia" w:ascii="Times New Roman" w:hAnsi="Times New Roman" w:eastAsia="宋体"/>
                <w:color w:val="auto"/>
                <w:sz w:val="24"/>
                <w:szCs w:val="24"/>
                <w:highlight w:val="none"/>
                <w:lang w:val="en-US" w:eastAsia="zh-CN"/>
              </w:rPr>
              <w:t>1</w:t>
            </w:r>
            <w:r>
              <w:rPr>
                <w:rFonts w:hint="eastAsia" w:eastAsia="宋体"/>
                <w:color w:val="auto"/>
                <w:sz w:val="24"/>
                <w:szCs w:val="24"/>
                <w:highlight w:val="none"/>
              </w:rPr>
              <w:t>所公立精神病防治医院。到</w:t>
            </w:r>
            <w:r>
              <w:rPr>
                <w:rFonts w:hint="eastAsia" w:ascii="Times New Roman" w:hAnsi="Times New Roman" w:eastAsia="宋体"/>
                <w:color w:val="auto"/>
                <w:sz w:val="24"/>
                <w:szCs w:val="24"/>
                <w:highlight w:val="none"/>
                <w:lang w:eastAsia="zh-CN"/>
              </w:rPr>
              <w:t>2025</w:t>
            </w:r>
            <w:r>
              <w:rPr>
                <w:rFonts w:hint="eastAsia" w:eastAsia="宋体"/>
                <w:color w:val="auto"/>
                <w:sz w:val="24"/>
                <w:szCs w:val="24"/>
                <w:highlight w:val="none"/>
              </w:rPr>
              <w:t>年城镇职工医保、城乡居民医保政策范围内住院医疗费用报销比例分别稳定在</w:t>
            </w:r>
            <w:r>
              <w:rPr>
                <w:rFonts w:hint="eastAsia" w:ascii="Times New Roman" w:hAnsi="Times New Roman" w:eastAsia="宋体"/>
                <w:color w:val="auto"/>
                <w:sz w:val="24"/>
                <w:szCs w:val="24"/>
                <w:highlight w:val="none"/>
                <w:lang w:eastAsia="zh-CN"/>
              </w:rPr>
              <w:t>80%</w:t>
            </w:r>
            <w:r>
              <w:rPr>
                <w:rFonts w:hint="eastAsia" w:eastAsia="宋体"/>
                <w:color w:val="auto"/>
                <w:sz w:val="24"/>
                <w:szCs w:val="24"/>
                <w:highlight w:val="none"/>
              </w:rPr>
              <w:t>和</w:t>
            </w:r>
            <w:r>
              <w:rPr>
                <w:rFonts w:hint="eastAsia" w:ascii="Times New Roman" w:hAnsi="Times New Roman" w:eastAsia="宋体"/>
                <w:color w:val="auto"/>
                <w:sz w:val="24"/>
                <w:szCs w:val="24"/>
                <w:highlight w:val="none"/>
                <w:lang w:eastAsia="zh-CN"/>
              </w:rPr>
              <w:t>50%</w:t>
            </w:r>
            <w:r>
              <w:rPr>
                <w:rFonts w:hint="eastAsia" w:eastAsia="宋体"/>
                <w:color w:val="auto"/>
                <w:sz w:val="24"/>
                <w:szCs w:val="24"/>
                <w:highlight w:val="none"/>
              </w:rPr>
              <w:t>以上，促进医疗高水平发展</w:t>
            </w:r>
            <w:r>
              <w:rPr>
                <w:rFonts w:hint="eastAsia" w:eastAsia="宋体"/>
                <w:color w:val="auto"/>
                <w:sz w:val="24"/>
                <w:szCs w:val="24"/>
                <w:highlight w:val="none"/>
                <w:lang w:val="en-US" w:eastAsia="zh-CN"/>
              </w:rPr>
              <w:t>。</w:t>
            </w:r>
          </w:p>
          <w:p>
            <w:pPr>
              <w:spacing w:line="500" w:lineRule="exact"/>
              <w:ind w:firstLine="0" w:firstLineChars="0"/>
              <w:rPr>
                <w:rFonts w:eastAsia="宋体"/>
                <w:color w:val="auto"/>
                <w:sz w:val="24"/>
                <w:szCs w:val="24"/>
                <w:highlight w:val="none"/>
              </w:rPr>
            </w:pPr>
            <w:r>
              <w:rPr>
                <w:rFonts w:hint="eastAsia" w:ascii="Times New Roman" w:hAnsi="Times New Roman" w:eastAsia="宋体"/>
                <w:b/>
                <w:bCs/>
                <w:color w:val="auto"/>
                <w:sz w:val="24"/>
                <w:szCs w:val="24"/>
                <w:highlight w:val="none"/>
                <w:lang w:eastAsia="zh-CN"/>
              </w:rPr>
              <w:t>3</w:t>
            </w:r>
            <w:r>
              <w:rPr>
                <w:rFonts w:hint="eastAsia" w:eastAsia="宋体"/>
                <w:b/>
                <w:bCs/>
                <w:color w:val="auto"/>
                <w:sz w:val="24"/>
                <w:szCs w:val="24"/>
                <w:highlight w:val="none"/>
                <w:lang w:val="en-US" w:eastAsia="zh-CN"/>
              </w:rPr>
              <w:t xml:space="preserve">. </w:t>
            </w:r>
            <w:r>
              <w:rPr>
                <w:rFonts w:eastAsia="宋体"/>
                <w:b/>
                <w:bCs/>
                <w:color w:val="auto"/>
                <w:sz w:val="24"/>
                <w:szCs w:val="24"/>
                <w:highlight w:val="none"/>
              </w:rPr>
              <w:t>文化体育事业建设：</w:t>
            </w:r>
            <w:r>
              <w:rPr>
                <w:rFonts w:hint="eastAsia" w:eastAsia="宋体"/>
                <w:color w:val="auto"/>
                <w:sz w:val="24"/>
                <w:szCs w:val="24"/>
                <w:highlight w:val="none"/>
              </w:rPr>
              <w:t>到</w:t>
            </w:r>
            <w:r>
              <w:rPr>
                <w:rFonts w:hint="eastAsia" w:ascii="Times New Roman" w:hAnsi="Times New Roman" w:eastAsia="宋体"/>
                <w:color w:val="auto"/>
                <w:sz w:val="24"/>
                <w:szCs w:val="24"/>
                <w:highlight w:val="none"/>
                <w:lang w:eastAsia="zh-CN"/>
              </w:rPr>
              <w:t>2025</w:t>
            </w:r>
            <w:r>
              <w:rPr>
                <w:rFonts w:hint="eastAsia" w:eastAsia="宋体"/>
                <w:color w:val="auto"/>
                <w:sz w:val="24"/>
                <w:szCs w:val="24"/>
                <w:highlight w:val="none"/>
              </w:rPr>
              <w:t>年，人均公共文化设施面积达到</w:t>
            </w:r>
            <w:r>
              <w:rPr>
                <w:rFonts w:hint="eastAsia" w:ascii="Times New Roman" w:hAnsi="Times New Roman" w:eastAsia="宋体"/>
                <w:color w:val="auto"/>
                <w:sz w:val="24"/>
                <w:szCs w:val="24"/>
                <w:highlight w:val="none"/>
                <w:lang w:val="en-US" w:eastAsia="zh-CN"/>
              </w:rPr>
              <w:t>3435</w:t>
            </w:r>
            <w:r>
              <w:rPr>
                <w:rFonts w:hint="eastAsia" w:eastAsia="宋体"/>
                <w:color w:val="auto"/>
                <w:sz w:val="24"/>
                <w:szCs w:val="24"/>
                <w:highlight w:val="none"/>
              </w:rPr>
              <w:t>平方米，人均公共体育场地面积达到</w:t>
            </w:r>
            <w:r>
              <w:rPr>
                <w:rFonts w:hint="eastAsia" w:ascii="Times New Roman" w:hAnsi="Times New Roman" w:eastAsia="宋体"/>
                <w:color w:val="auto"/>
                <w:sz w:val="24"/>
                <w:szCs w:val="24"/>
                <w:highlight w:val="none"/>
                <w:lang w:val="en-US" w:eastAsia="zh-CN"/>
              </w:rPr>
              <w:t>3.61</w:t>
            </w:r>
            <w:r>
              <w:rPr>
                <w:rFonts w:eastAsia="宋体"/>
                <w:color w:val="auto"/>
                <w:sz w:val="24"/>
                <w:szCs w:val="24"/>
                <w:highlight w:val="none"/>
              </w:rPr>
              <w:t>平方米</w:t>
            </w:r>
            <w:r>
              <w:rPr>
                <w:rFonts w:hint="eastAsia" w:eastAsia="宋体"/>
                <w:color w:val="auto"/>
                <w:sz w:val="24"/>
                <w:szCs w:val="24"/>
                <w:highlight w:val="none"/>
              </w:rPr>
              <w:t>。</w:t>
            </w:r>
          </w:p>
          <w:p>
            <w:pPr>
              <w:spacing w:line="500" w:lineRule="exact"/>
              <w:ind w:firstLine="0" w:firstLineChars="0"/>
              <w:rPr>
                <w:color w:val="auto"/>
                <w:highlight w:val="none"/>
              </w:rPr>
            </w:pPr>
            <w:r>
              <w:rPr>
                <w:rFonts w:hint="eastAsia" w:ascii="Times New Roman" w:hAnsi="Times New Roman" w:eastAsia="宋体"/>
                <w:b/>
                <w:bCs/>
                <w:color w:val="auto"/>
                <w:sz w:val="24"/>
                <w:szCs w:val="24"/>
                <w:highlight w:val="none"/>
                <w:lang w:eastAsia="zh-CN"/>
              </w:rPr>
              <w:t>4</w:t>
            </w:r>
            <w:r>
              <w:rPr>
                <w:rFonts w:hint="eastAsia" w:eastAsia="宋体"/>
                <w:b/>
                <w:bCs/>
                <w:color w:val="auto"/>
                <w:sz w:val="24"/>
                <w:szCs w:val="24"/>
                <w:highlight w:val="none"/>
                <w:lang w:val="en-US" w:eastAsia="zh-CN"/>
              </w:rPr>
              <w:t xml:space="preserve">. </w:t>
            </w:r>
            <w:r>
              <w:rPr>
                <w:rFonts w:eastAsia="宋体"/>
                <w:b/>
                <w:bCs/>
                <w:color w:val="auto"/>
                <w:sz w:val="24"/>
                <w:szCs w:val="24"/>
                <w:highlight w:val="none"/>
              </w:rPr>
              <w:t>社会保障：</w:t>
            </w:r>
            <w:r>
              <w:rPr>
                <w:rFonts w:hint="eastAsia" w:eastAsia="宋体"/>
                <w:color w:val="auto"/>
                <w:sz w:val="24"/>
                <w:szCs w:val="24"/>
                <w:highlight w:val="none"/>
              </w:rPr>
              <w:t>到</w:t>
            </w:r>
            <w:r>
              <w:rPr>
                <w:rFonts w:hint="eastAsia" w:ascii="Times New Roman" w:hAnsi="Times New Roman" w:eastAsia="宋体"/>
                <w:color w:val="auto"/>
                <w:sz w:val="24"/>
                <w:szCs w:val="24"/>
                <w:highlight w:val="none"/>
                <w:lang w:eastAsia="zh-CN"/>
              </w:rPr>
              <w:t>2025</w:t>
            </w:r>
            <w:r>
              <w:rPr>
                <w:rFonts w:hint="eastAsia" w:eastAsia="宋体"/>
                <w:color w:val="auto"/>
                <w:sz w:val="24"/>
                <w:szCs w:val="24"/>
                <w:highlight w:val="none"/>
              </w:rPr>
              <w:t>年</w:t>
            </w:r>
            <w:r>
              <w:rPr>
                <w:rFonts w:hint="eastAsia" w:eastAsia="宋体"/>
                <w:color w:val="auto"/>
                <w:sz w:val="24"/>
                <w:szCs w:val="24"/>
                <w:highlight w:val="none"/>
                <w:lang w:eastAsia="zh-CN"/>
              </w:rPr>
              <w:t>，</w:t>
            </w:r>
            <w:r>
              <w:rPr>
                <w:rFonts w:hint="eastAsia" w:eastAsia="宋体"/>
                <w:color w:val="auto"/>
                <w:sz w:val="24"/>
                <w:szCs w:val="24"/>
                <w:highlight w:val="none"/>
              </w:rPr>
              <w:t>城乡居民基本养老保险参保人数达到</w:t>
            </w:r>
            <w:r>
              <w:rPr>
                <w:rFonts w:hint="eastAsia" w:ascii="Times New Roman" w:hAnsi="Times New Roman" w:eastAsia="宋体"/>
                <w:color w:val="auto"/>
                <w:sz w:val="24"/>
                <w:szCs w:val="24"/>
                <w:highlight w:val="none"/>
                <w:lang w:eastAsia="zh-CN"/>
              </w:rPr>
              <w:t>18.96</w:t>
            </w:r>
            <w:r>
              <w:rPr>
                <w:rFonts w:hint="eastAsia" w:eastAsia="宋体"/>
                <w:color w:val="auto"/>
                <w:sz w:val="24"/>
                <w:szCs w:val="24"/>
                <w:highlight w:val="none"/>
              </w:rPr>
              <w:t>万人。</w:t>
            </w:r>
          </w:p>
        </w:tc>
      </w:tr>
    </w:tbl>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spacing w:before="156" w:after="156"/>
        <w:rPr>
          <w:color w:val="auto"/>
          <w:highlight w:val="none"/>
        </w:rPr>
      </w:pPr>
      <w:bookmarkStart w:id="294" w:name="_Toc53003203"/>
      <w:bookmarkStart w:id="295" w:name="_Toc151"/>
      <w:r>
        <w:rPr>
          <w:color w:val="auto"/>
          <w:highlight w:val="none"/>
        </w:rPr>
        <w:t>第十</w:t>
      </w:r>
      <w:r>
        <w:rPr>
          <w:rFonts w:hint="eastAsia"/>
          <w:color w:val="auto"/>
          <w:highlight w:val="none"/>
        </w:rPr>
        <w:t>二</w:t>
      </w:r>
      <w:r>
        <w:rPr>
          <w:color w:val="auto"/>
          <w:highlight w:val="none"/>
        </w:rPr>
        <w:t xml:space="preserve">章  </w:t>
      </w:r>
      <w:r>
        <w:rPr>
          <w:rFonts w:hint="eastAsia"/>
          <w:color w:val="auto"/>
          <w:highlight w:val="none"/>
        </w:rPr>
        <w:t xml:space="preserve">深化平安建设 </w:t>
      </w:r>
      <w:bookmarkEnd w:id="294"/>
      <w:r>
        <w:rPr>
          <w:rFonts w:hint="eastAsia"/>
          <w:color w:val="auto"/>
          <w:highlight w:val="none"/>
        </w:rPr>
        <w:t>提升</w:t>
      </w:r>
      <w:r>
        <w:rPr>
          <w:rFonts w:hint="eastAsia"/>
          <w:color w:val="auto"/>
          <w:highlight w:val="none"/>
          <w:lang w:val="en-US" w:eastAsia="zh-CN"/>
        </w:rPr>
        <w:t>市域</w:t>
      </w:r>
      <w:r>
        <w:rPr>
          <w:rFonts w:hint="eastAsia"/>
          <w:color w:val="auto"/>
          <w:highlight w:val="none"/>
        </w:rPr>
        <w:t>治理新能力</w:t>
      </w:r>
      <w:bookmarkEnd w:id="295"/>
    </w:p>
    <w:p>
      <w:pPr>
        <w:bidi w:val="0"/>
        <w:rPr>
          <w:rFonts w:hint="default"/>
          <w:color w:val="auto"/>
          <w:highlight w:val="none"/>
        </w:rPr>
      </w:pPr>
      <w:bookmarkStart w:id="296" w:name="_Toc53003204"/>
      <w:r>
        <w:rPr>
          <w:rFonts w:hint="default"/>
          <w:color w:val="auto"/>
          <w:highlight w:val="none"/>
        </w:rPr>
        <w:t>坚持党的坚强领导，完善社会治理体系，健全党组织领导的城乡基层治理体系，</w:t>
      </w:r>
      <w:r>
        <w:rPr>
          <w:rFonts w:hint="eastAsia"/>
          <w:color w:val="auto"/>
          <w:highlight w:val="none"/>
          <w:lang w:val="en-US" w:eastAsia="zh-CN"/>
        </w:rPr>
        <w:t>建设高素质干部队伍</w:t>
      </w:r>
      <w:r>
        <w:rPr>
          <w:rFonts w:hint="default"/>
          <w:color w:val="auto"/>
          <w:highlight w:val="none"/>
        </w:rPr>
        <w:t>，积极推进市域社会治理现代化</w:t>
      </w:r>
      <w:r>
        <w:rPr>
          <w:rFonts w:hint="eastAsia"/>
          <w:color w:val="auto"/>
          <w:highlight w:val="none"/>
          <w:lang w:val="en-US" w:eastAsia="zh-CN"/>
        </w:rPr>
        <w:t>建设</w:t>
      </w:r>
      <w:r>
        <w:rPr>
          <w:rFonts w:hint="default"/>
          <w:color w:val="auto"/>
          <w:highlight w:val="none"/>
        </w:rPr>
        <w:t>，实现政府治理同社会调节、居民自治良性互动，打造平安幸福坡头。</w:t>
      </w:r>
    </w:p>
    <w:p>
      <w:pPr>
        <w:pStyle w:val="4"/>
        <w:spacing w:before="62" w:after="62"/>
        <w:ind w:firstLine="0"/>
        <w:jc w:val="center"/>
        <w:rPr>
          <w:rFonts w:hint="default" w:ascii="宋体" w:hAnsi="宋体"/>
          <w:color w:val="auto"/>
          <w:highlight w:val="none"/>
        </w:rPr>
      </w:pPr>
      <w:bookmarkStart w:id="297" w:name="_Toc2448"/>
      <w:r>
        <w:rPr>
          <w:rFonts w:hint="default" w:ascii="宋体" w:hAnsi="宋体"/>
          <w:color w:val="auto"/>
          <w:highlight w:val="none"/>
        </w:rPr>
        <w:t>第一节 全面加强党的建设</w:t>
      </w:r>
      <w:bookmarkEnd w:id="297"/>
    </w:p>
    <w:p>
      <w:pPr>
        <w:bidi w:val="0"/>
        <w:rPr>
          <w:rFonts w:hint="default"/>
          <w:b/>
          <w:bCs/>
          <w:color w:val="auto"/>
          <w:highlight w:val="none"/>
          <w:lang w:val="en-US"/>
        </w:rPr>
      </w:pPr>
      <w:r>
        <w:rPr>
          <w:rFonts w:hint="eastAsia" w:ascii="仿宋" w:hAnsi="仿宋" w:cs="仿宋"/>
          <w:color w:val="auto"/>
          <w:highlight w:val="none"/>
          <w:lang w:val="en-US" w:eastAsia="zh-CN"/>
        </w:rPr>
        <w:t>坚持党的全面领导，坚持“四区”统筹运作原则，大力推进基层党组织建设，着力打造高素质干部队伍，强化柔性引才工作。</w:t>
      </w:r>
    </w:p>
    <w:p>
      <w:pPr>
        <w:bidi w:val="0"/>
        <w:rPr>
          <w:rFonts w:ascii="仿宋" w:hAnsi="仿宋" w:cs="仿宋"/>
          <w:color w:val="auto"/>
          <w:highlight w:val="none"/>
        </w:rPr>
      </w:pPr>
      <w:r>
        <w:rPr>
          <w:rFonts w:hint="eastAsia"/>
          <w:b/>
          <w:bCs/>
          <w:color w:val="auto"/>
          <w:highlight w:val="none"/>
        </w:rPr>
        <w:t>加强思想政治建设</w:t>
      </w:r>
      <w:r>
        <w:rPr>
          <w:rFonts w:hint="eastAsia"/>
          <w:b/>
          <w:bCs/>
          <w:color w:val="auto"/>
          <w:highlight w:val="none"/>
          <w:lang w:eastAsia="zh-CN"/>
        </w:rPr>
        <w:t>。</w:t>
      </w:r>
      <w:r>
        <w:rPr>
          <w:rFonts w:hint="eastAsia" w:ascii="仿宋" w:hAnsi="仿宋" w:cs="仿宋"/>
          <w:color w:val="auto"/>
          <w:highlight w:val="none"/>
          <w:lang w:val="en-US" w:eastAsia="zh-CN"/>
        </w:rPr>
        <w:t>坚持党的全面领导，</w:t>
      </w:r>
      <w:r>
        <w:rPr>
          <w:rFonts w:hint="eastAsia" w:ascii="仿宋" w:hAnsi="仿宋" w:cs="仿宋"/>
          <w:color w:val="auto"/>
          <w:highlight w:val="none"/>
          <w:lang w:eastAsia="zh-CN"/>
        </w:rPr>
        <w:t>增强“四个意识”、坚定“四个自信”</w:t>
      </w:r>
      <w:r>
        <w:rPr>
          <w:rFonts w:hint="eastAsia" w:ascii="仿宋" w:hAnsi="仿宋" w:cs="仿宋"/>
          <w:color w:val="auto"/>
          <w:highlight w:val="none"/>
        </w:rPr>
        <w:t>，确保党始终成为中国特色社会主义事业的坚强领导核心，为实现“两个一百年”奋斗目标和</w:t>
      </w:r>
      <w:bookmarkStart w:id="369" w:name="_GoBack"/>
      <w:bookmarkEnd w:id="369"/>
      <w:r>
        <w:rPr>
          <w:rFonts w:hint="eastAsia" w:ascii="仿宋" w:hAnsi="仿宋" w:cs="仿宋"/>
          <w:color w:val="auto"/>
          <w:highlight w:val="none"/>
        </w:rPr>
        <w:t>中华民族伟大复兴的中国梦提供坚强政治保证。以党的政治建设为统领，把政治标准和政治要求贯穿全区思想建设、组织建设、作风建设、纪律建设以及制度建设、反腐败斗争始终。把党的</w:t>
      </w:r>
      <w:r>
        <w:rPr>
          <w:rFonts w:hint="eastAsia" w:ascii="仿宋" w:hAnsi="仿宋" w:cs="仿宋"/>
          <w:color w:val="auto"/>
          <w:highlight w:val="none"/>
          <w:lang w:val="en-US" w:eastAsia="zh-CN"/>
        </w:rPr>
        <w:t>领导</w:t>
      </w:r>
      <w:r>
        <w:rPr>
          <w:rFonts w:hint="eastAsia" w:ascii="仿宋" w:hAnsi="仿宋" w:cs="仿宋"/>
          <w:color w:val="auto"/>
          <w:highlight w:val="none"/>
        </w:rPr>
        <w:t>融入坡头区重大决策部署的制定和落实全过程。</w:t>
      </w:r>
    </w:p>
    <w:p>
      <w:pPr>
        <w:bidi w:val="0"/>
        <w:rPr>
          <w:rFonts w:ascii="仿宋" w:hAnsi="仿宋" w:cs="仿宋"/>
          <w:color w:val="auto"/>
          <w:highlight w:val="none"/>
        </w:rPr>
      </w:pPr>
      <w:r>
        <w:rPr>
          <w:rFonts w:hint="eastAsia"/>
          <w:b/>
          <w:bCs/>
          <w:color w:val="auto"/>
          <w:highlight w:val="none"/>
        </w:rPr>
        <w:t>推进基层党组织建设</w:t>
      </w:r>
      <w:r>
        <w:rPr>
          <w:rFonts w:hint="eastAsia"/>
          <w:b/>
          <w:bCs/>
          <w:color w:val="auto"/>
          <w:highlight w:val="none"/>
          <w:lang w:eastAsia="zh-CN"/>
        </w:rPr>
        <w:t>。</w:t>
      </w:r>
      <w:r>
        <w:rPr>
          <w:rFonts w:hint="eastAsia" w:ascii="仿宋" w:hAnsi="仿宋" w:cs="仿宋"/>
          <w:color w:val="auto"/>
          <w:highlight w:val="none"/>
        </w:rPr>
        <w:t>坚持党建引领基层治理，强化党组织在基层各类组织的核心领导地位</w:t>
      </w:r>
      <w:r>
        <w:rPr>
          <w:rFonts w:hint="eastAsia" w:ascii="仿宋" w:hAnsi="仿宋" w:cs="仿宋"/>
          <w:color w:val="auto"/>
          <w:highlight w:val="none"/>
          <w:lang w:eastAsia="zh-CN"/>
        </w:rPr>
        <w:t>，</w:t>
      </w:r>
      <w:r>
        <w:rPr>
          <w:rFonts w:hint="eastAsia" w:ascii="仿宋" w:hAnsi="仿宋" w:cs="仿宋"/>
          <w:color w:val="auto"/>
          <w:highlight w:val="none"/>
        </w:rPr>
        <w:t>突出基层党组织在乡村振兴</w:t>
      </w:r>
      <w:r>
        <w:rPr>
          <w:rFonts w:hint="eastAsia" w:ascii="仿宋" w:hAnsi="仿宋" w:cs="仿宋"/>
          <w:color w:val="auto"/>
          <w:highlight w:val="none"/>
          <w:lang w:eastAsia="zh-CN"/>
        </w:rPr>
        <w:t>、</w:t>
      </w:r>
      <w:r>
        <w:rPr>
          <w:rFonts w:hint="eastAsia" w:ascii="仿宋" w:hAnsi="仿宋" w:cs="仿宋"/>
          <w:color w:val="auto"/>
          <w:highlight w:val="none"/>
        </w:rPr>
        <w:t>脱贫攻坚</w:t>
      </w:r>
      <w:r>
        <w:rPr>
          <w:rFonts w:hint="eastAsia" w:ascii="仿宋" w:hAnsi="仿宋" w:cs="仿宋"/>
          <w:color w:val="auto"/>
          <w:highlight w:val="none"/>
          <w:lang w:eastAsia="zh-CN"/>
        </w:rPr>
        <w:t>、</w:t>
      </w:r>
      <w:r>
        <w:rPr>
          <w:rFonts w:hint="eastAsia" w:ascii="仿宋" w:hAnsi="仿宋" w:cs="仿宋"/>
          <w:color w:val="auto"/>
          <w:highlight w:val="none"/>
        </w:rPr>
        <w:t>人居环境整治</w:t>
      </w:r>
      <w:r>
        <w:rPr>
          <w:rFonts w:hint="eastAsia" w:ascii="仿宋" w:hAnsi="仿宋" w:cs="仿宋"/>
          <w:color w:val="auto"/>
          <w:highlight w:val="none"/>
          <w:lang w:eastAsia="zh-CN"/>
        </w:rPr>
        <w:t>、</w:t>
      </w:r>
      <w:r>
        <w:rPr>
          <w:rFonts w:hint="eastAsia" w:ascii="仿宋" w:hAnsi="仿宋" w:cs="仿宋"/>
          <w:color w:val="auto"/>
          <w:highlight w:val="none"/>
        </w:rPr>
        <w:t>创文巩卫</w:t>
      </w:r>
      <w:r>
        <w:rPr>
          <w:rFonts w:hint="eastAsia" w:ascii="仿宋" w:hAnsi="仿宋" w:cs="仿宋"/>
          <w:color w:val="auto"/>
          <w:highlight w:val="none"/>
          <w:lang w:eastAsia="zh-CN"/>
        </w:rPr>
        <w:t>、</w:t>
      </w:r>
      <w:r>
        <w:rPr>
          <w:rFonts w:hint="eastAsia" w:ascii="仿宋" w:hAnsi="仿宋" w:cs="仿宋"/>
          <w:color w:val="auto"/>
          <w:highlight w:val="none"/>
        </w:rPr>
        <w:t>平安建设</w:t>
      </w:r>
      <w:r>
        <w:rPr>
          <w:rFonts w:hint="eastAsia" w:ascii="仿宋" w:hAnsi="仿宋" w:cs="仿宋"/>
          <w:color w:val="auto"/>
          <w:highlight w:val="none"/>
          <w:lang w:eastAsia="zh-CN"/>
        </w:rPr>
        <w:t>、</w:t>
      </w:r>
      <w:r>
        <w:rPr>
          <w:rFonts w:hint="eastAsia" w:ascii="仿宋" w:hAnsi="仿宋" w:cs="仿宋"/>
          <w:color w:val="auto"/>
          <w:highlight w:val="none"/>
        </w:rPr>
        <w:t>重点项目建设等工作的引领作用，</w:t>
      </w:r>
      <w:r>
        <w:rPr>
          <w:rFonts w:hint="eastAsia" w:ascii="仿宋" w:hAnsi="仿宋" w:cs="仿宋"/>
          <w:color w:val="auto"/>
          <w:highlight w:val="none"/>
          <w:lang w:val="en-US" w:eastAsia="zh-CN"/>
        </w:rPr>
        <w:t>完善</w:t>
      </w:r>
      <w:r>
        <w:rPr>
          <w:rFonts w:hint="eastAsia" w:ascii="仿宋" w:hAnsi="仿宋" w:cs="仿宋"/>
          <w:color w:val="auto"/>
          <w:highlight w:val="none"/>
          <w:lang w:eastAsia="zh-CN"/>
        </w:rPr>
        <w:t>“</w:t>
      </w:r>
      <w:r>
        <w:rPr>
          <w:rFonts w:hint="eastAsia" w:ascii="仿宋" w:hAnsi="仿宋" w:cs="仿宋"/>
          <w:color w:val="auto"/>
          <w:highlight w:val="none"/>
        </w:rPr>
        <w:t>党建引领</w:t>
      </w:r>
      <w:r>
        <w:rPr>
          <w:rFonts w:hint="eastAsia" w:ascii="仿宋" w:hAnsi="仿宋" w:cs="仿宋"/>
          <w:color w:val="auto"/>
          <w:highlight w:val="none"/>
          <w:lang w:eastAsia="zh-CN"/>
        </w:rPr>
        <w:t>、</w:t>
      </w:r>
      <w:r>
        <w:rPr>
          <w:rFonts w:hint="eastAsia" w:ascii="仿宋" w:hAnsi="仿宋" w:cs="仿宋"/>
          <w:color w:val="auto"/>
          <w:highlight w:val="none"/>
        </w:rPr>
        <w:t>五者同责</w:t>
      </w:r>
      <w:r>
        <w:rPr>
          <w:rFonts w:hint="eastAsia" w:ascii="仿宋" w:hAnsi="仿宋" w:cs="仿宋"/>
          <w:color w:val="auto"/>
          <w:highlight w:val="none"/>
          <w:lang w:eastAsia="zh-CN"/>
        </w:rPr>
        <w:t>、</w:t>
      </w:r>
      <w:r>
        <w:rPr>
          <w:rFonts w:hint="eastAsia" w:ascii="仿宋" w:hAnsi="仿宋" w:cs="仿宋"/>
          <w:color w:val="auto"/>
          <w:highlight w:val="none"/>
        </w:rPr>
        <w:t>入网入格</w:t>
      </w:r>
      <w:r>
        <w:rPr>
          <w:rFonts w:hint="eastAsia" w:ascii="仿宋" w:hAnsi="仿宋" w:cs="仿宋"/>
          <w:color w:val="auto"/>
          <w:highlight w:val="none"/>
          <w:lang w:eastAsia="zh-CN"/>
        </w:rPr>
        <w:t>”</w:t>
      </w:r>
      <w:r>
        <w:rPr>
          <w:rFonts w:hint="eastAsia" w:ascii="仿宋" w:hAnsi="仿宋" w:cs="仿宋"/>
          <w:color w:val="auto"/>
          <w:highlight w:val="none"/>
        </w:rPr>
        <w:t>工作机制，持续推进党建五大工程，有效发挥头雁引领和党员先锋作用</w:t>
      </w:r>
      <w:r>
        <w:rPr>
          <w:rFonts w:hint="eastAsia" w:ascii="仿宋" w:hAnsi="仿宋" w:cs="仿宋"/>
          <w:color w:val="auto"/>
          <w:highlight w:val="none"/>
          <w:lang w:eastAsia="zh-CN"/>
        </w:rPr>
        <w:t>，</w:t>
      </w:r>
      <w:r>
        <w:rPr>
          <w:rFonts w:hint="eastAsia" w:ascii="仿宋" w:hAnsi="仿宋" w:cs="仿宋"/>
          <w:color w:val="auto"/>
          <w:highlight w:val="none"/>
          <w:lang w:val="en-US" w:eastAsia="zh-CN"/>
        </w:rPr>
        <w:t>推进</w:t>
      </w:r>
      <w:r>
        <w:rPr>
          <w:rFonts w:hint="eastAsia" w:ascii="仿宋" w:hAnsi="仿宋" w:cs="仿宋"/>
          <w:color w:val="auto"/>
          <w:highlight w:val="none"/>
        </w:rPr>
        <w:t>机关与农村支部结对共建</w:t>
      </w:r>
      <w:r>
        <w:rPr>
          <w:rFonts w:hint="eastAsia" w:ascii="仿宋" w:hAnsi="仿宋" w:cs="仿宋"/>
          <w:color w:val="auto"/>
          <w:highlight w:val="none"/>
          <w:lang w:eastAsia="zh-CN"/>
        </w:rPr>
        <w:t>，</w:t>
      </w:r>
      <w:r>
        <w:rPr>
          <w:rFonts w:hint="eastAsia" w:ascii="仿宋" w:hAnsi="仿宋" w:cs="仿宋"/>
          <w:color w:val="auto"/>
          <w:highlight w:val="none"/>
        </w:rPr>
        <w:t>提升农村党组织组织力</w:t>
      </w:r>
      <w:r>
        <w:rPr>
          <w:rFonts w:hint="eastAsia" w:ascii="仿宋" w:hAnsi="仿宋" w:cs="仿宋"/>
          <w:color w:val="auto"/>
          <w:highlight w:val="none"/>
          <w:lang w:eastAsia="zh-CN"/>
        </w:rPr>
        <w:t>。</w:t>
      </w:r>
      <w:r>
        <w:rPr>
          <w:rFonts w:hint="eastAsia" w:ascii="仿宋" w:hAnsi="仿宋" w:cs="仿宋"/>
          <w:color w:val="auto"/>
          <w:highlight w:val="none"/>
        </w:rPr>
        <w:t>深化特色党建示范区建设，抓好抓实村（社区）党组织政治功能建设，</w:t>
      </w:r>
      <w:r>
        <w:rPr>
          <w:rFonts w:hint="eastAsia" w:ascii="仿宋" w:hAnsi="仿宋" w:cs="仿宋"/>
          <w:color w:val="auto"/>
          <w:highlight w:val="none"/>
          <w:lang w:eastAsia="zh-CN"/>
        </w:rPr>
        <w:t>大力发挥基层党组织示范带动作用，打造区级党建星级示范点</w:t>
      </w:r>
      <w:r>
        <w:rPr>
          <w:rFonts w:hint="eastAsia" w:ascii="仿宋" w:hAnsi="仿宋" w:cs="仿宋"/>
          <w:color w:val="auto"/>
          <w:highlight w:val="none"/>
        </w:rPr>
        <w:t>。突出激励机制创新，实施村（社区）两委干部职业化管理，增强村（社区）基层吸引力。</w:t>
      </w:r>
      <w:r>
        <w:rPr>
          <w:rFonts w:hint="eastAsia" w:ascii="仿宋" w:hAnsi="仿宋" w:cs="仿宋"/>
          <w:color w:val="auto"/>
          <w:highlight w:val="none"/>
          <w:lang w:val="en-US" w:eastAsia="zh-CN"/>
        </w:rPr>
        <w:t>完善</w:t>
      </w:r>
      <w:r>
        <w:rPr>
          <w:rFonts w:hint="eastAsia" w:ascii="仿宋" w:hAnsi="仿宋" w:cs="仿宋"/>
          <w:color w:val="auto"/>
          <w:highlight w:val="none"/>
        </w:rPr>
        <w:t>“村居吹哨、挂点集合、五者同责”机制，压实挂点区领导、挂点镇领导、挂点部门主要领导、驻村干部和村干部等五方面人员工作责任。结合</w:t>
      </w:r>
      <w:r>
        <w:rPr>
          <w:rFonts w:hint="eastAsia" w:ascii="仿宋" w:hAnsi="仿宋" w:cs="仿宋"/>
          <w:color w:val="auto"/>
          <w:highlight w:val="none"/>
          <w:lang w:val="en-US" w:eastAsia="zh-CN"/>
        </w:rPr>
        <w:t>坡头国家级</w:t>
      </w:r>
      <w:r>
        <w:rPr>
          <w:rFonts w:hint="eastAsia" w:ascii="仿宋" w:hAnsi="仿宋" w:cs="仿宋"/>
          <w:color w:val="auto"/>
          <w:highlight w:val="none"/>
        </w:rPr>
        <w:t>旅游</w:t>
      </w:r>
      <w:r>
        <w:rPr>
          <w:rFonts w:hint="eastAsia" w:ascii="仿宋" w:hAnsi="仿宋" w:cs="仿宋"/>
          <w:color w:val="auto"/>
          <w:highlight w:val="none"/>
          <w:lang w:val="en-US" w:eastAsia="zh-CN"/>
        </w:rPr>
        <w:t>示范区</w:t>
      </w:r>
      <w:r>
        <w:rPr>
          <w:rFonts w:hint="eastAsia" w:ascii="仿宋" w:hAnsi="仿宋" w:cs="仿宋"/>
          <w:color w:val="auto"/>
          <w:highlight w:val="none"/>
        </w:rPr>
        <w:t>创建工作，将“党建线”打造成滨海游精品线。构建智慧党建工作体系，提升智慧党建引领社会治理水平。</w:t>
      </w:r>
    </w:p>
    <w:p>
      <w:pPr>
        <w:bidi w:val="0"/>
        <w:rPr>
          <w:rFonts w:hint="default" w:ascii="仿宋" w:hAnsi="仿宋" w:eastAsia="仿宋" w:cs="仿宋"/>
          <w:color w:val="auto"/>
          <w:highlight w:val="none"/>
          <w:lang w:val="en-US" w:eastAsia="zh-CN"/>
        </w:rPr>
      </w:pPr>
      <w:r>
        <w:rPr>
          <w:rFonts w:hint="eastAsia"/>
          <w:b/>
          <w:bCs/>
          <w:color w:val="auto"/>
          <w:highlight w:val="none"/>
        </w:rPr>
        <w:t>建设高素质干部队伍</w:t>
      </w:r>
      <w:r>
        <w:rPr>
          <w:rFonts w:hint="eastAsia"/>
          <w:b/>
          <w:bCs/>
          <w:color w:val="auto"/>
          <w:highlight w:val="none"/>
          <w:lang w:eastAsia="zh-CN"/>
        </w:rPr>
        <w:t>。</w:t>
      </w:r>
      <w:r>
        <w:rPr>
          <w:rFonts w:hint="eastAsia" w:ascii="仿宋" w:hAnsi="仿宋" w:cs="仿宋"/>
          <w:color w:val="auto"/>
          <w:highlight w:val="none"/>
          <w:lang w:val="en-US" w:eastAsia="zh-CN"/>
        </w:rPr>
        <w:t>坚持全区一盘棋，“四区”统筹运作原则，树立“让有为者有位”选人用人风向标，善用职级晋升激励政策，一线锻炼、考察选拔干部，选人用人向重点项目倾斜、向有为年轻干部倾斜，重视选调生驻村挂职锻炼，积极做好人才入库和柔性引才工作。</w:t>
      </w:r>
      <w:r>
        <w:rPr>
          <w:rFonts w:hint="eastAsia" w:ascii="仿宋" w:hAnsi="仿宋" w:cs="仿宋"/>
          <w:color w:val="auto"/>
          <w:highlight w:val="none"/>
        </w:rPr>
        <w:t>用活选调和调任政策，落实年轻干部分级储备培养，实施专业干部储备计划</w:t>
      </w:r>
      <w:r>
        <w:rPr>
          <w:rFonts w:hint="eastAsia" w:ascii="仿宋" w:hAnsi="仿宋" w:cs="仿宋"/>
          <w:color w:val="auto"/>
          <w:highlight w:val="none"/>
          <w:lang w:eastAsia="zh-CN"/>
        </w:rPr>
        <w:t>。</w:t>
      </w:r>
      <w:r>
        <w:rPr>
          <w:rFonts w:hint="eastAsia" w:ascii="仿宋" w:hAnsi="仿宋" w:cs="仿宋"/>
          <w:color w:val="auto"/>
          <w:highlight w:val="none"/>
        </w:rPr>
        <w:t>探索党政人才专业成长模式，通过定期开展课题调研、双向挂职、项目合作等方式，提升干部专业水平、综合能力。围绕区中心工作，运用深度介入、贴近考核等方式，及时发现优秀干部，提高精准动议、有效管理、从严监督的科学性。</w:t>
      </w:r>
      <w:r>
        <w:rPr>
          <w:rFonts w:hint="eastAsia" w:ascii="仿宋" w:hAnsi="仿宋" w:cs="仿宋"/>
          <w:color w:val="auto"/>
          <w:highlight w:val="none"/>
          <w:lang w:val="en-US" w:eastAsia="zh-CN"/>
        </w:rPr>
        <w:t>加大对党员干部培训教育力度，深化党的基本理论教育、党性教育和专业知识培训。</w:t>
      </w:r>
    </w:p>
    <w:p>
      <w:pPr>
        <w:pStyle w:val="4"/>
        <w:spacing w:before="62" w:after="62"/>
        <w:ind w:firstLine="0"/>
        <w:jc w:val="center"/>
        <w:rPr>
          <w:rFonts w:hint="default" w:ascii="宋体" w:hAnsi="宋体"/>
          <w:color w:val="auto"/>
          <w:highlight w:val="none"/>
        </w:rPr>
      </w:pPr>
      <w:bookmarkStart w:id="298" w:name="_Toc31004"/>
      <w:r>
        <w:rPr>
          <w:rFonts w:hint="default" w:ascii="宋体" w:hAnsi="宋体"/>
          <w:color w:val="auto"/>
          <w:highlight w:val="none"/>
        </w:rPr>
        <w:t>第二节 创新社会治理体系</w:t>
      </w:r>
      <w:bookmarkEnd w:id="296"/>
      <w:bookmarkEnd w:id="298"/>
    </w:p>
    <w:p>
      <w:pPr>
        <w:bidi w:val="0"/>
        <w:rPr>
          <w:color w:val="auto"/>
          <w:highlight w:val="none"/>
        </w:rPr>
      </w:pPr>
      <w:r>
        <w:rPr>
          <w:b/>
          <w:bCs/>
          <w:color w:val="auto"/>
          <w:highlight w:val="none"/>
        </w:rPr>
        <w:t>推动基层民主建设</w:t>
      </w:r>
      <w:r>
        <w:rPr>
          <w:rFonts w:hint="eastAsia"/>
          <w:b/>
          <w:bCs/>
          <w:color w:val="auto"/>
          <w:highlight w:val="none"/>
          <w:lang w:eastAsia="zh-CN"/>
        </w:rPr>
        <w:t>。</w:t>
      </w:r>
      <w:r>
        <w:rPr>
          <w:color w:val="auto"/>
          <w:highlight w:val="none"/>
        </w:rPr>
        <w:t>加强基层民主政治建设。以扩大党内民主、基层民主带动社区居民民主，完善社区居委会</w:t>
      </w:r>
      <w:r>
        <w:rPr>
          <w:rFonts w:hint="eastAsia"/>
          <w:color w:val="auto"/>
          <w:highlight w:val="none"/>
          <w:lang w:val="en-US" w:eastAsia="zh-CN"/>
        </w:rPr>
        <w:t>和农村村委会</w:t>
      </w:r>
      <w:r>
        <w:rPr>
          <w:color w:val="auto"/>
          <w:highlight w:val="none"/>
        </w:rPr>
        <w:t>直接选举制度，进一步规范民主选举程序，健全基层党组织领导的基层群众自治机制，不断实现政府管理与城乡基层群众自治有效衔接。进一步健全社区</w:t>
      </w:r>
      <w:r>
        <w:rPr>
          <w:rFonts w:hint="eastAsia"/>
          <w:color w:val="auto"/>
          <w:highlight w:val="none"/>
          <w:lang w:val="en-US" w:eastAsia="zh-CN"/>
        </w:rPr>
        <w:t>和乡村</w:t>
      </w:r>
      <w:r>
        <w:rPr>
          <w:color w:val="auto"/>
          <w:highlight w:val="none"/>
        </w:rPr>
        <w:t>事务监督组织，提高民主监督的有效性。加强基层群众自治组织建设，特别是新建居住区的社区居委会建设。</w:t>
      </w:r>
    </w:p>
    <w:p>
      <w:pPr>
        <w:bidi w:val="0"/>
        <w:rPr>
          <w:rFonts w:hint="eastAsia" w:eastAsia="仿宋"/>
          <w:color w:val="auto"/>
          <w:highlight w:val="none"/>
          <w:lang w:eastAsia="zh-CN"/>
        </w:rPr>
      </w:pPr>
      <w:r>
        <w:rPr>
          <w:rFonts w:hint="eastAsia"/>
          <w:b/>
          <w:bCs/>
          <w:color w:val="auto"/>
          <w:highlight w:val="none"/>
        </w:rPr>
        <w:t>完善市域社会治理体制机制</w:t>
      </w:r>
      <w:r>
        <w:rPr>
          <w:rFonts w:hint="eastAsia"/>
          <w:b/>
          <w:bCs/>
          <w:color w:val="auto"/>
          <w:highlight w:val="none"/>
          <w:lang w:eastAsia="zh-CN"/>
        </w:rPr>
        <w:t>。</w:t>
      </w:r>
      <w:r>
        <w:rPr>
          <w:rFonts w:hint="eastAsia"/>
          <w:color w:val="auto"/>
          <w:highlight w:val="none"/>
        </w:rPr>
        <w:t>加强基层党组织建设，推进党支部党小组建在网格、党组织有效嵌入各类社会基层组织。完善联动融合、集约高效的政府负责体制，发挥政府主导作用，强化政府社会治理职能，提高公共服务能力和水平。全面推广“农村维稳律师团”等经验，创出更多矛盾多元化解的坡头“枫桥经验”。完善程序科学、环节完善的民主协商体制，发挥好人大代表、政协委员等在平安</w:t>
      </w:r>
      <w:r>
        <w:rPr>
          <w:rFonts w:hint="eastAsia"/>
          <w:color w:val="auto"/>
          <w:highlight w:val="none"/>
          <w:lang w:val="en-US" w:eastAsia="zh-CN"/>
        </w:rPr>
        <w:t>坡头</w:t>
      </w:r>
      <w:r>
        <w:rPr>
          <w:rFonts w:hint="eastAsia"/>
          <w:color w:val="auto"/>
          <w:highlight w:val="none"/>
        </w:rPr>
        <w:t>建设和市域社会治理现代化中的积极作用，发挥好村（社区）党组织在城乡社区协商中的领导作用。培育法治与社会治理事务相关的社会组织，形成服务到位、监管有效的社会组织管理服务格局，完善政府购买服务机制。完善公众参与机制，借鉴“网上枫桥经验”，搭建群众参与的网络平台。完善权责明晰、上下贯通的纵向治理架构。全面推进综治中心规范化建设，实现区镇村三级综治中心规范化建设全覆盖，发挥综治中心作为市域社会治理实战化平台作用，实现与相关部门资源整合、信息共享、协调一致。继续深化网格化管理，加强基层社会治理综合网格工作，提升管理精细化、智能化水平</w:t>
      </w:r>
      <w:r>
        <w:rPr>
          <w:rFonts w:hint="eastAsia"/>
          <w:color w:val="auto"/>
          <w:highlight w:val="none"/>
          <w:lang w:eastAsia="zh-CN"/>
        </w:rPr>
        <w:t>。</w:t>
      </w:r>
    </w:p>
    <w:p>
      <w:pPr>
        <w:bidi w:val="0"/>
        <w:rPr>
          <w:color w:val="auto"/>
          <w:highlight w:val="none"/>
        </w:rPr>
      </w:pPr>
      <w:r>
        <w:rPr>
          <w:b/>
          <w:bCs/>
          <w:color w:val="auto"/>
          <w:highlight w:val="none"/>
        </w:rPr>
        <w:t>强化专项社会事务管理</w:t>
      </w:r>
      <w:r>
        <w:rPr>
          <w:rFonts w:hint="eastAsia"/>
          <w:b/>
          <w:bCs/>
          <w:color w:val="auto"/>
          <w:highlight w:val="none"/>
          <w:lang w:eastAsia="zh-CN"/>
        </w:rPr>
        <w:t>。</w:t>
      </w:r>
      <w:r>
        <w:rPr>
          <w:color w:val="auto"/>
          <w:highlight w:val="none"/>
        </w:rPr>
        <w:t>加强婚姻管理工作</w:t>
      </w:r>
      <w:r>
        <w:rPr>
          <w:rFonts w:hint="eastAsia"/>
          <w:color w:val="auto"/>
          <w:highlight w:val="none"/>
          <w:lang w:eastAsia="zh-CN"/>
        </w:rPr>
        <w:t>，</w:t>
      </w:r>
      <w:r>
        <w:rPr>
          <w:rFonts w:hint="eastAsia"/>
          <w:color w:val="auto"/>
          <w:highlight w:val="none"/>
          <w:lang w:val="en-US" w:eastAsia="zh-CN"/>
        </w:rPr>
        <w:t>推进</w:t>
      </w:r>
      <w:r>
        <w:rPr>
          <w:color w:val="auto"/>
          <w:highlight w:val="none"/>
        </w:rPr>
        <w:t>婚姻登记规范化，</w:t>
      </w:r>
      <w:r>
        <w:rPr>
          <w:rFonts w:hint="eastAsia"/>
          <w:color w:val="auto"/>
          <w:highlight w:val="none"/>
          <w:lang w:val="en-US" w:eastAsia="zh-CN"/>
        </w:rPr>
        <w:t>强化</w:t>
      </w:r>
      <w:r>
        <w:rPr>
          <w:color w:val="auto"/>
          <w:highlight w:val="none"/>
        </w:rPr>
        <w:t>婚姻登记员队伍建设，</w:t>
      </w:r>
      <w:r>
        <w:rPr>
          <w:rFonts w:hint="eastAsia"/>
          <w:color w:val="auto"/>
          <w:highlight w:val="none"/>
          <w:lang w:val="en-US" w:eastAsia="zh-CN"/>
        </w:rPr>
        <w:t>在法定工作时间</w:t>
      </w:r>
      <w:r>
        <w:rPr>
          <w:color w:val="auto"/>
          <w:highlight w:val="none"/>
        </w:rPr>
        <w:t>做好特殊节日工作。全面推进殡葬改革工作</w:t>
      </w:r>
      <w:r>
        <w:rPr>
          <w:rFonts w:hint="eastAsia"/>
          <w:color w:val="auto"/>
          <w:highlight w:val="none"/>
          <w:lang w:eastAsia="zh-CN"/>
        </w:rPr>
        <w:t>，</w:t>
      </w:r>
      <w:r>
        <w:rPr>
          <w:color w:val="auto"/>
          <w:highlight w:val="none"/>
        </w:rPr>
        <w:t>推广实行文明殡葬，文明祭祀。社区普遍开展文明公祭，清明推行鲜花替代烧纸，减少环境污染和安全隐患。规范收养登记，确保收养登记符合法律规范，不留法律漏洞。加强流浪乞讨人员救助</w:t>
      </w:r>
      <w:r>
        <w:rPr>
          <w:rFonts w:hint="eastAsia"/>
          <w:color w:val="auto"/>
          <w:highlight w:val="none"/>
          <w:lang w:eastAsia="zh-CN"/>
        </w:rPr>
        <w:t>，</w:t>
      </w:r>
      <w:r>
        <w:rPr>
          <w:color w:val="auto"/>
          <w:highlight w:val="none"/>
        </w:rPr>
        <w:t>建立流浪乞讨人员救助长效机制，加强救助力度，提高救助效率。全面推行未成年人社会保护工作</w:t>
      </w:r>
      <w:r>
        <w:rPr>
          <w:rFonts w:hint="eastAsia"/>
          <w:color w:val="auto"/>
          <w:highlight w:val="none"/>
          <w:lang w:eastAsia="zh-CN"/>
        </w:rPr>
        <w:t>，</w:t>
      </w:r>
      <w:r>
        <w:rPr>
          <w:rFonts w:hint="eastAsia"/>
          <w:color w:val="auto"/>
          <w:highlight w:val="none"/>
          <w:lang w:val="en-US" w:eastAsia="zh-CN"/>
        </w:rPr>
        <w:t>完善</w:t>
      </w:r>
      <w:r>
        <w:rPr>
          <w:color w:val="auto"/>
          <w:highlight w:val="none"/>
        </w:rPr>
        <w:t>未成年人社会保护制度</w:t>
      </w:r>
      <w:r>
        <w:rPr>
          <w:rFonts w:hint="eastAsia"/>
          <w:color w:val="auto"/>
          <w:highlight w:val="none"/>
          <w:lang w:eastAsia="zh-CN"/>
        </w:rPr>
        <w:t>，</w:t>
      </w:r>
      <w:r>
        <w:rPr>
          <w:color w:val="auto"/>
          <w:highlight w:val="none"/>
        </w:rPr>
        <w:t>建立未成年人保护、教育、辅导工作机构，为全区未成年人健康成长创造条件。</w:t>
      </w:r>
    </w:p>
    <w:p>
      <w:pPr>
        <w:pStyle w:val="4"/>
        <w:spacing w:before="62" w:after="62"/>
        <w:ind w:firstLine="0"/>
        <w:jc w:val="center"/>
        <w:rPr>
          <w:rFonts w:hint="default" w:ascii="宋体" w:hAnsi="宋体"/>
          <w:color w:val="auto"/>
          <w:highlight w:val="none"/>
        </w:rPr>
      </w:pPr>
      <w:bookmarkStart w:id="299" w:name="_Toc16772"/>
      <w:bookmarkStart w:id="300" w:name="_Toc12314"/>
      <w:bookmarkStart w:id="301" w:name="_Toc53003205"/>
      <w:bookmarkStart w:id="302" w:name="_Toc4671"/>
      <w:bookmarkStart w:id="303" w:name="_Toc4861"/>
      <w:bookmarkStart w:id="304" w:name="_Toc24614"/>
      <w:bookmarkStart w:id="305" w:name="_Toc32491"/>
      <w:bookmarkStart w:id="306" w:name="_Toc31049"/>
      <w:r>
        <w:rPr>
          <w:rFonts w:hint="default" w:ascii="宋体" w:hAnsi="宋体"/>
          <w:color w:val="auto"/>
          <w:highlight w:val="none"/>
        </w:rPr>
        <w:t>第三节 促进法治</w:t>
      </w:r>
      <w:bookmarkEnd w:id="299"/>
      <w:r>
        <w:rPr>
          <w:rFonts w:hint="default" w:ascii="宋体" w:hAnsi="宋体"/>
          <w:color w:val="auto"/>
          <w:highlight w:val="none"/>
        </w:rPr>
        <w:t>坡头建设</w:t>
      </w:r>
      <w:bookmarkEnd w:id="300"/>
      <w:bookmarkEnd w:id="301"/>
      <w:bookmarkEnd w:id="302"/>
      <w:bookmarkEnd w:id="303"/>
      <w:bookmarkEnd w:id="304"/>
      <w:bookmarkEnd w:id="305"/>
    </w:p>
    <w:p>
      <w:pPr>
        <w:bidi w:val="0"/>
        <w:rPr>
          <w:rFonts w:hint="eastAsia"/>
          <w:color w:val="auto"/>
          <w:highlight w:val="none"/>
        </w:rPr>
      </w:pPr>
      <w:r>
        <w:rPr>
          <w:rFonts w:hint="eastAsia"/>
          <w:b/>
          <w:bCs/>
          <w:color w:val="auto"/>
          <w:highlight w:val="none"/>
        </w:rPr>
        <w:t>完善依法治区机制建设</w:t>
      </w:r>
      <w:r>
        <w:rPr>
          <w:rFonts w:hint="eastAsia"/>
          <w:b/>
          <w:bCs/>
          <w:color w:val="auto"/>
          <w:highlight w:val="none"/>
          <w:lang w:eastAsia="zh-CN"/>
        </w:rPr>
        <w:t>。</w:t>
      </w:r>
      <w:r>
        <w:rPr>
          <w:rFonts w:hint="eastAsia"/>
          <w:color w:val="auto"/>
          <w:highlight w:val="none"/>
        </w:rPr>
        <w:t>配齐、配强依法治区委员会办公室工作人员，完善区级各部门、各乡镇依法治区工作机构，建立健全依法治区工作网络，强化法治工作培训，把依法治区工作不断引向深入。</w:t>
      </w:r>
    </w:p>
    <w:p>
      <w:pPr>
        <w:bidi w:val="0"/>
        <w:rPr>
          <w:rFonts w:hint="default" w:eastAsia="仿宋"/>
          <w:color w:val="auto"/>
          <w:highlight w:val="none"/>
          <w:lang w:val="en-US" w:eastAsia="zh-CN"/>
        </w:rPr>
      </w:pPr>
      <w:r>
        <w:rPr>
          <w:rFonts w:hint="eastAsia"/>
          <w:b/>
          <w:bCs/>
          <w:color w:val="auto"/>
          <w:highlight w:val="none"/>
        </w:rPr>
        <w:t>加快推进法治政府建设</w:t>
      </w:r>
      <w:r>
        <w:rPr>
          <w:rFonts w:hint="eastAsia"/>
          <w:b/>
          <w:bCs/>
          <w:color w:val="auto"/>
          <w:highlight w:val="none"/>
          <w:lang w:eastAsia="zh-CN"/>
        </w:rPr>
        <w:t>。</w:t>
      </w:r>
      <w:r>
        <w:rPr>
          <w:rFonts w:hint="eastAsia"/>
          <w:b w:val="0"/>
          <w:bCs w:val="0"/>
          <w:color w:val="auto"/>
          <w:highlight w:val="none"/>
          <w:lang w:val="en-US" w:eastAsia="zh-CN"/>
        </w:rPr>
        <w:t>完善全区行政规范性文件和重大行政决策制定程序，依法依规履行公众参与、专家论证、风险评估、合法性审查、集体讨论决定、印发等程序，使行政规范性文件和重大行政决策更加科学可行。健全政府法律顾问制度，聘请政府法律顾问为坡头重大决策事项提供法律依据，提高依法决策水平。</w:t>
      </w:r>
      <w:r>
        <w:rPr>
          <w:rFonts w:hint="eastAsia"/>
          <w:color w:val="auto"/>
          <w:highlight w:val="none"/>
        </w:rPr>
        <w:t>强化执法规范，提高依法行政水平。进一步推进各行政执法单位行政执法公示、执法全过程记录和重大执法决定法制审核“三项制度”，推动行政检察与行政执法监督的衔接工作，全面加强依法行政工作，完善依法依规办事制度，提高全区依法行政水平。定期组织全区行政执法人员培训，提高行政执法人员能力水平</w:t>
      </w:r>
      <w:r>
        <w:rPr>
          <w:rFonts w:hint="eastAsia"/>
          <w:color w:val="auto"/>
          <w:highlight w:val="none"/>
          <w:lang w:eastAsia="zh-CN"/>
        </w:rPr>
        <w:t>，</w:t>
      </w:r>
      <w:r>
        <w:rPr>
          <w:rFonts w:hint="eastAsia"/>
          <w:color w:val="auto"/>
          <w:highlight w:val="none"/>
        </w:rPr>
        <w:t>将法治政府建设向纵深推进。加强和深化行政复议和应诉工作。以行政复议办案为关键点，加强与人民法院行政审判工作协调，积极配合人民法院审理行政案件，增强行政复议公信力，扩大行政复议影响力。增强对行政诉讼等法律知识学习和应诉技巧等培训，深化行政机关应诉能力建设，提高行政应诉质量和效率。</w:t>
      </w:r>
      <w:r>
        <w:rPr>
          <w:rFonts w:hint="eastAsia"/>
          <w:color w:val="auto"/>
          <w:highlight w:val="none"/>
          <w:lang w:val="en-US" w:eastAsia="zh-CN"/>
        </w:rPr>
        <w:t>配齐配强全区各部门、各乡镇法制工作机构和合法性审核专业工作人员，强化法制业务培训，把法治政府建设工作不断引向深入。</w:t>
      </w:r>
    </w:p>
    <w:p>
      <w:pPr>
        <w:bidi w:val="0"/>
        <w:rPr>
          <w:rFonts w:hint="eastAsia"/>
          <w:color w:val="auto"/>
          <w:highlight w:val="none"/>
        </w:rPr>
      </w:pPr>
      <w:r>
        <w:rPr>
          <w:rFonts w:hint="eastAsia"/>
          <w:b/>
          <w:bCs/>
          <w:color w:val="auto"/>
          <w:highlight w:val="none"/>
        </w:rPr>
        <w:t>扎实抓好普法宣传教育</w:t>
      </w:r>
      <w:r>
        <w:rPr>
          <w:rFonts w:hint="eastAsia"/>
          <w:b/>
          <w:bCs/>
          <w:color w:val="auto"/>
          <w:highlight w:val="none"/>
          <w:lang w:eastAsia="zh-CN"/>
        </w:rPr>
        <w:t>。</w:t>
      </w:r>
      <w:r>
        <w:rPr>
          <w:rFonts w:hint="eastAsia"/>
          <w:color w:val="auto"/>
          <w:highlight w:val="none"/>
        </w:rPr>
        <w:t>加大全民法治宣传教育力度。创新普法宣传形式，做好法治宣传工作，深入推进国家机关“谁执法、谁普法”普法责任制落实，开展全民法治素养提升行动，加强青少年法治教育，建立青少年学生法治教育实践基地，完善行政执法人员、律师等以案释法制度，不断提高法治宣传的覆盖面、专业性、有效性。坚持以领导干部、公务员、青少年、农民为重点对象，增强公民的法律意识和法律素质，增强公务员依法行政观念和依法行政能力，进一步增强司法人员公正司法能力水平，增强各级领导依法治理观念和依法管理、服务社会水平。</w:t>
      </w:r>
    </w:p>
    <w:p>
      <w:pPr>
        <w:bidi w:val="0"/>
        <w:rPr>
          <w:color w:val="auto"/>
          <w:highlight w:val="none"/>
        </w:rPr>
      </w:pPr>
      <w:r>
        <w:rPr>
          <w:rFonts w:hint="eastAsia"/>
          <w:b/>
          <w:bCs/>
          <w:color w:val="auto"/>
          <w:highlight w:val="none"/>
        </w:rPr>
        <w:t>建立健全法律服务机制</w:t>
      </w:r>
      <w:r>
        <w:rPr>
          <w:rFonts w:hint="eastAsia"/>
          <w:b/>
          <w:bCs/>
          <w:color w:val="auto"/>
          <w:highlight w:val="none"/>
          <w:lang w:eastAsia="zh-CN"/>
        </w:rPr>
        <w:t>。</w:t>
      </w:r>
      <w:r>
        <w:rPr>
          <w:rFonts w:hint="eastAsia"/>
          <w:color w:val="auto"/>
          <w:highlight w:val="none"/>
        </w:rPr>
        <w:t>完善公共法律服务平台建设，提高便民服务质量；保障公共法律服务工作室人员和资金的投入。进</w:t>
      </w:r>
      <w:r>
        <w:rPr>
          <w:rFonts w:hint="eastAsia" w:ascii="仿宋" w:hAnsi="仿宋" w:eastAsia="仿宋" w:cs="仿宋"/>
          <w:color w:val="auto"/>
          <w:highlight w:val="none"/>
        </w:rPr>
        <w:t>ー</w:t>
      </w:r>
      <w:r>
        <w:rPr>
          <w:rFonts w:hint="eastAsia"/>
          <w:color w:val="auto"/>
          <w:highlight w:val="none"/>
        </w:rPr>
        <w:t>步提高法律援助的办案质量，完善法律援助案件质量评估工作。完善村居法律顾问制度，提升法律服务水平</w:t>
      </w:r>
      <w:r>
        <w:rPr>
          <w:color w:val="auto"/>
          <w:highlight w:val="none"/>
        </w:rPr>
        <w:t>。</w:t>
      </w:r>
    </w:p>
    <w:bookmarkEnd w:id="306"/>
    <w:p>
      <w:pPr>
        <w:pStyle w:val="4"/>
        <w:spacing w:before="62" w:after="62"/>
        <w:ind w:firstLine="0"/>
        <w:jc w:val="center"/>
        <w:rPr>
          <w:rFonts w:hint="default" w:ascii="宋体" w:hAnsi="宋体"/>
          <w:color w:val="auto"/>
          <w:highlight w:val="none"/>
          <w:lang w:val="en-US" w:eastAsia="zh-CN"/>
        </w:rPr>
      </w:pPr>
      <w:bookmarkStart w:id="307" w:name="_Toc53003206"/>
      <w:bookmarkStart w:id="308" w:name="_Toc14830"/>
      <w:r>
        <w:rPr>
          <w:rFonts w:hint="default" w:ascii="宋体" w:hAnsi="宋体"/>
          <w:color w:val="auto"/>
          <w:highlight w:val="none"/>
        </w:rPr>
        <w:t xml:space="preserve">第四节 </w:t>
      </w:r>
      <w:bookmarkEnd w:id="307"/>
      <w:r>
        <w:rPr>
          <w:rFonts w:hint="eastAsia" w:ascii="宋体" w:hAnsi="宋体"/>
          <w:color w:val="auto"/>
          <w:highlight w:val="none"/>
          <w:lang w:val="en-US" w:eastAsia="zh-CN"/>
        </w:rPr>
        <w:t>推进平安</w:t>
      </w:r>
      <w:r>
        <w:rPr>
          <w:rFonts w:hint="eastAsia"/>
          <w:color w:val="auto"/>
          <w:highlight w:val="none"/>
          <w:lang w:val="en-US" w:eastAsia="zh-CN"/>
        </w:rPr>
        <w:t>创建工作</w:t>
      </w:r>
      <w:bookmarkEnd w:id="308"/>
    </w:p>
    <w:p>
      <w:pPr>
        <w:bidi w:val="0"/>
        <w:rPr>
          <w:color w:val="auto"/>
          <w:highlight w:val="none"/>
        </w:rPr>
      </w:pPr>
      <w:r>
        <w:rPr>
          <w:rFonts w:hint="eastAsia"/>
          <w:b/>
          <w:bCs/>
          <w:color w:val="auto"/>
          <w:highlight w:val="none"/>
        </w:rPr>
        <w:t>推进市域社会治理现代化</w:t>
      </w:r>
      <w:r>
        <w:rPr>
          <w:rFonts w:hint="eastAsia"/>
          <w:b/>
          <w:bCs/>
          <w:color w:val="auto"/>
          <w:highlight w:val="none"/>
          <w:lang w:eastAsia="zh-CN"/>
        </w:rPr>
        <w:t>。</w:t>
      </w:r>
      <w:r>
        <w:rPr>
          <w:rFonts w:hint="eastAsia"/>
          <w:color w:val="auto"/>
          <w:highlight w:val="none"/>
        </w:rPr>
        <w:t>着力维护国家政治安全。全面加强反恐反邪教工作，全面落实维护政治安全各项工作措施。健全扫黑除恶常态化机制，持续强化行业治理和基层治理，推动扫黑除恶工作长效常治，严厉打击涉盗抢骗、涉黄赌毒、涉食药环、电信诈骗等突出刑事犯罪。进一步推进“雪亮工程”建设，强化治安防控基础建设，织密联防联控和群防群治“两张网”。全面推进全面禁毒工程建设，不断加强特殊人群服务管理工作，不断加强流动人口服务管理工作，全面严密重点行业领域治安监管，有效防范化解重大社会矛盾风险。不断完善网络社会综合防控体系，依法严厉打击网络违法犯罪。健全落实依法办理、舆论引导、社会面管控“三同步”机制，妥善处置各类敏感舆情。不断健全社会矛盾排查研判预警机制，全面落实社会稳定风险评估制度，积极完善调解、仲裁、行政裁决、行政复议、诉讼等有机衔接、相互协调、高效便捷的多元化纠纷解决机制，拓宽第三方参与矛盾化解的制度化渠道。深化“中心+网格化+信息化”工作，推动综治中心、网格化服务管理中心与村级综合服务管理平台等一体化运行。全面深化网格化服务管理，加强基层社会治理综合网格工作。建立健全以基层综治中心为依托的社会心理服务实体及其运行机制，提高社会风险防控能力。深入开展社会治安重点地区和治安突出问题排查整治，加大道路交通安全综合整治力度，加强重大活动治安管理和校园及周边综合治理，完善突发案件应急处置机制，全力防范化解市域社会治理难题，切实提高市域社会治理系统化、社会化、精细化、法治化、智能化水平。</w:t>
      </w:r>
    </w:p>
    <w:p>
      <w:pPr>
        <w:bidi w:val="0"/>
        <w:rPr>
          <w:color w:val="auto"/>
          <w:highlight w:val="none"/>
        </w:rPr>
      </w:pPr>
      <w:bookmarkStart w:id="309" w:name="_Toc13697"/>
      <w:bookmarkStart w:id="310" w:name="_Toc16692"/>
      <w:r>
        <w:rPr>
          <w:b/>
          <w:bCs/>
          <w:color w:val="auto"/>
          <w:highlight w:val="none"/>
        </w:rPr>
        <w:t>强化人民调解工作</w:t>
      </w:r>
      <w:r>
        <w:rPr>
          <w:rFonts w:hint="eastAsia"/>
          <w:b/>
          <w:bCs/>
          <w:color w:val="auto"/>
          <w:highlight w:val="none"/>
          <w:lang w:eastAsia="zh-CN"/>
        </w:rPr>
        <w:t>。</w:t>
      </w:r>
      <w:r>
        <w:rPr>
          <w:color w:val="auto"/>
          <w:highlight w:val="none"/>
        </w:rPr>
        <w:t>加大专业性行业性人民调解委员会建设力度，加强专职人民调解员队伍建设，及时化解专业领域的矛盾纠纷。开展人民调解员培训工作，提高依法调解的效力。进一步发挥诉前联调的工作机制，充分发挥人民调解在维护社会稳定中的重要作用。</w:t>
      </w:r>
    </w:p>
    <w:p>
      <w:pPr>
        <w:pStyle w:val="2"/>
        <w:rPr>
          <w:rFonts w:ascii="Times New Roman" w:hAnsi="Times New Roman" w:eastAsia="仿宋" w:cs="Times New Roman"/>
          <w:color w:val="auto"/>
          <w:kern w:val="2"/>
          <w:sz w:val="32"/>
          <w:szCs w:val="22"/>
          <w:highlight w:val="none"/>
          <w:lang w:val="en-US" w:eastAsia="zh-CN" w:bidi="ar-SA"/>
        </w:rPr>
      </w:pPr>
      <w:r>
        <w:rPr>
          <w:rFonts w:hint="eastAsia" w:ascii="Times New Roman" w:hAnsi="Times New Roman" w:eastAsia="仿宋" w:cs="Times New Roman"/>
          <w:b/>
          <w:bCs/>
          <w:color w:val="auto"/>
          <w:kern w:val="2"/>
          <w:sz w:val="32"/>
          <w:szCs w:val="22"/>
          <w:highlight w:val="none"/>
          <w:lang w:val="en-US" w:eastAsia="zh-CN" w:bidi="ar-SA"/>
        </w:rPr>
        <w:t>深化平安细胞创建工作。</w:t>
      </w:r>
      <w:r>
        <w:rPr>
          <w:rFonts w:hint="eastAsia" w:ascii="Times New Roman" w:hAnsi="Times New Roman" w:eastAsia="仿宋" w:cs="Times New Roman"/>
          <w:color w:val="auto"/>
          <w:kern w:val="2"/>
          <w:sz w:val="32"/>
          <w:szCs w:val="22"/>
          <w:highlight w:val="none"/>
          <w:lang w:val="en-US" w:eastAsia="zh-CN" w:bidi="ar-SA"/>
        </w:rPr>
        <w:t>拓展平安创建的广度和深度，推进平安细胞创建工作，着力抓好平安镇（街）、平安村（社区）建设，依托区级主管部门，组织平安医院、平安校园、平安交通、平安景区、平安家庭、平安文化市场等行业、系统平安创建工作。积极实施挂点和以奖代补制度，整合各方力量与资源，扎实开展平安创建活动，建设更高水平平安坡头。</w:t>
      </w:r>
    </w:p>
    <w:bookmarkEnd w:id="309"/>
    <w:bookmarkEnd w:id="310"/>
    <w:p>
      <w:pPr>
        <w:bidi w:val="0"/>
        <w:rPr>
          <w:color w:val="auto"/>
          <w:highlight w:val="none"/>
        </w:rPr>
      </w:pPr>
      <w:r>
        <w:rPr>
          <w:b/>
          <w:bCs/>
          <w:color w:val="auto"/>
          <w:highlight w:val="none"/>
        </w:rPr>
        <w:t>加强应急管理工作</w:t>
      </w:r>
      <w:r>
        <w:rPr>
          <w:rFonts w:hint="eastAsia"/>
          <w:b/>
          <w:bCs/>
          <w:color w:val="auto"/>
          <w:highlight w:val="none"/>
          <w:lang w:eastAsia="zh-CN"/>
        </w:rPr>
        <w:t>。</w:t>
      </w:r>
      <w:r>
        <w:rPr>
          <w:rFonts w:hint="eastAsia"/>
          <w:color w:val="auto"/>
          <w:highlight w:val="none"/>
        </w:rPr>
        <w:t>推进应急救援力量体系建设，规划建设普通消防站、工业园区专职消防队、训练基地、应急消防科普教育基地以及应急救援专业队伍，按照“中心站+小型站”模式推进建设城市消防救援站，完成南三镇田头消防救援站建设和荣昌路荣昌消防站项目征地及前期报建工作。</w:t>
      </w:r>
      <w:r>
        <w:rPr>
          <w:rFonts w:hint="eastAsia"/>
          <w:color w:val="auto"/>
          <w:highlight w:val="none"/>
          <w:lang w:eastAsia="zh-CN"/>
        </w:rPr>
        <w:t>“十四五”</w:t>
      </w:r>
      <w:r>
        <w:rPr>
          <w:rFonts w:hint="eastAsia"/>
          <w:color w:val="auto"/>
          <w:highlight w:val="none"/>
        </w:rPr>
        <w:t>期间新建、升级</w:t>
      </w:r>
      <w:r>
        <w:rPr>
          <w:rFonts w:hint="eastAsia" w:ascii="Times New Roman" w:hAnsi="Times New Roman"/>
          <w:color w:val="auto"/>
          <w:highlight w:val="none"/>
          <w:lang w:eastAsia="zh-CN"/>
        </w:rPr>
        <w:t>5</w:t>
      </w:r>
      <w:r>
        <w:rPr>
          <w:rFonts w:hint="eastAsia"/>
          <w:color w:val="auto"/>
          <w:highlight w:val="none"/>
        </w:rPr>
        <w:t>个专职消防队。</w:t>
      </w:r>
      <w:r>
        <w:rPr>
          <w:color w:val="auto"/>
          <w:highlight w:val="none"/>
        </w:rPr>
        <w:t>加强市政消火栓建设维护，提升消防安全应急救援处置能力。</w:t>
      </w:r>
      <w:r>
        <w:rPr>
          <w:rFonts w:hint="eastAsia"/>
          <w:color w:val="auto"/>
          <w:highlight w:val="none"/>
        </w:rPr>
        <w:t>发展消防信息支撑系统，推进“智慧消防”综合应用。</w:t>
      </w:r>
      <w:r>
        <w:rPr>
          <w:color w:val="auto"/>
          <w:highlight w:val="none"/>
        </w:rPr>
        <w:t>健全应急信息平台体系，完善安全生产应急平台体系建设，健全联动互通的安全生产应急平台体系，实现应急标准规范统一完整、应急业务应用实用管用、应急信息资源互通共享、应急信息化装备科学完备的目标。加强应急物资保障，逐步完善安全生产应急物资储备制度，构建政府储备与市场储备相结合、实物储备与生产能力储备相配套的储备模式，健全应急物资的维护、补充、更新、调运机制，建立规范统一的应急物资动态信息管理系统。</w:t>
      </w: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pStyle w:val="3"/>
        <w:numPr>
          <w:ilvl w:val="0"/>
          <w:numId w:val="5"/>
        </w:numPr>
        <w:spacing w:before="156" w:after="156"/>
        <w:rPr>
          <w:rFonts w:hint="eastAsia"/>
          <w:color w:val="auto"/>
          <w:highlight w:val="none"/>
          <w:lang w:val="en-US" w:eastAsia="zh-CN"/>
        </w:rPr>
      </w:pPr>
      <w:bookmarkStart w:id="311" w:name="_Toc10567"/>
      <w:bookmarkStart w:id="312" w:name="_Toc1281"/>
      <w:bookmarkStart w:id="313" w:name="_Toc16170"/>
      <w:bookmarkStart w:id="314" w:name="_Toc23241"/>
      <w:bookmarkStart w:id="315" w:name="_Toc19301"/>
      <w:bookmarkStart w:id="316" w:name="_Toc53003207"/>
      <w:r>
        <w:rPr>
          <w:rFonts w:hint="eastAsia"/>
          <w:color w:val="auto"/>
          <w:highlight w:val="none"/>
          <w:lang w:val="en-US" w:eastAsia="zh-CN"/>
        </w:rPr>
        <w:t xml:space="preserve"> </w:t>
      </w:r>
      <w:bookmarkStart w:id="317" w:name="_Toc10824"/>
      <w:r>
        <w:rPr>
          <w:rFonts w:hint="eastAsia"/>
          <w:color w:val="auto"/>
          <w:highlight w:val="none"/>
          <w:lang w:val="en-US" w:eastAsia="zh-CN"/>
        </w:rPr>
        <w:t>构筑安全格局 防范化解重大风险</w:t>
      </w:r>
      <w:bookmarkEnd w:id="317"/>
    </w:p>
    <w:p>
      <w:pPr>
        <w:numPr>
          <w:ilvl w:val="0"/>
          <w:numId w:val="0"/>
        </w:numPr>
        <w:ind w:firstLine="640" w:firstLineChars="200"/>
        <w:rPr>
          <w:rFonts w:hint="default"/>
          <w:color w:val="auto"/>
          <w:highlight w:val="none"/>
          <w:lang w:val="en-US" w:eastAsia="zh-CN"/>
        </w:rPr>
      </w:pPr>
      <w:r>
        <w:rPr>
          <w:rFonts w:hint="default"/>
          <w:color w:val="auto"/>
          <w:highlight w:val="none"/>
          <w:lang w:val="en-US" w:eastAsia="zh-CN"/>
        </w:rPr>
        <w:t>全面落实国家安全总体部署，把安全发展贯穿发展的各领域和全过程，统筹传统安全和非传统安全，健全公共安全体系，全面提高应急防控能力，着力防范化解重大风险，不断提升人民群众安全感。</w:t>
      </w:r>
    </w:p>
    <w:p>
      <w:pPr>
        <w:pStyle w:val="4"/>
        <w:spacing w:before="62" w:after="62"/>
        <w:ind w:firstLine="0"/>
        <w:jc w:val="center"/>
        <w:rPr>
          <w:rFonts w:hint="default" w:ascii="宋体" w:hAnsi="宋体"/>
          <w:color w:val="auto"/>
          <w:highlight w:val="none"/>
          <w:lang w:val="en-US" w:eastAsia="zh-CN"/>
        </w:rPr>
      </w:pPr>
      <w:bookmarkStart w:id="318" w:name="_Toc8361"/>
      <w:bookmarkStart w:id="319" w:name="_Toc806"/>
      <w:bookmarkStart w:id="320" w:name="_Toc59523261"/>
      <w:bookmarkStart w:id="321" w:name="_Toc8437"/>
      <w:r>
        <w:rPr>
          <w:rFonts w:hint="eastAsia" w:ascii="宋体" w:hAnsi="宋体"/>
          <w:color w:val="auto"/>
          <w:highlight w:val="none"/>
        </w:rPr>
        <w:t xml:space="preserve">第一节 </w:t>
      </w:r>
      <w:r>
        <w:rPr>
          <w:rFonts w:hint="eastAsia" w:ascii="宋体" w:hAnsi="宋体"/>
          <w:color w:val="auto"/>
          <w:highlight w:val="none"/>
          <w:lang w:val="en-US" w:eastAsia="zh-CN"/>
        </w:rPr>
        <w:t>加强</w:t>
      </w:r>
      <w:r>
        <w:rPr>
          <w:rFonts w:hint="eastAsia" w:ascii="宋体" w:hAnsi="宋体"/>
          <w:color w:val="auto"/>
          <w:highlight w:val="none"/>
        </w:rPr>
        <w:t>国家</w:t>
      </w:r>
      <w:bookmarkEnd w:id="318"/>
      <w:bookmarkEnd w:id="319"/>
      <w:bookmarkEnd w:id="320"/>
      <w:r>
        <w:rPr>
          <w:rFonts w:hint="eastAsia" w:ascii="宋体" w:hAnsi="宋体"/>
          <w:color w:val="auto"/>
          <w:highlight w:val="none"/>
          <w:lang w:val="en-US" w:eastAsia="zh-CN"/>
        </w:rPr>
        <w:t>安全体系建设</w:t>
      </w:r>
      <w:bookmarkEnd w:id="321"/>
    </w:p>
    <w:p>
      <w:pPr>
        <w:widowControl w:val="0"/>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落实国家安全</w:t>
      </w:r>
      <w:r>
        <w:rPr>
          <w:rFonts w:hint="eastAsia" w:ascii="仿宋" w:hAnsi="仿宋" w:eastAsia="仿宋" w:cs="仿宋"/>
          <w:color w:val="auto"/>
          <w:sz w:val="32"/>
          <w:szCs w:val="32"/>
          <w:highlight w:val="none"/>
          <w:lang w:val="en-US" w:eastAsia="zh-CN"/>
        </w:rPr>
        <w:t>战略</w:t>
      </w:r>
      <w:r>
        <w:rPr>
          <w:rFonts w:hint="eastAsia" w:ascii="仿宋" w:hAnsi="仿宋" w:eastAsia="仿宋" w:cs="仿宋"/>
          <w:color w:val="auto"/>
          <w:sz w:val="32"/>
          <w:szCs w:val="32"/>
          <w:highlight w:val="none"/>
        </w:rPr>
        <w:t>部署，建立健全</w:t>
      </w:r>
      <w:r>
        <w:rPr>
          <w:rFonts w:hint="eastAsia" w:ascii="仿宋" w:hAnsi="仿宋" w:cs="仿宋"/>
          <w:color w:val="auto"/>
          <w:sz w:val="32"/>
          <w:szCs w:val="32"/>
          <w:highlight w:val="none"/>
          <w:lang w:val="en-US" w:eastAsia="zh-CN"/>
        </w:rPr>
        <w:t>全区</w:t>
      </w:r>
      <w:r>
        <w:rPr>
          <w:rFonts w:hint="eastAsia" w:ascii="仿宋" w:hAnsi="仿宋" w:eastAsia="仿宋" w:cs="仿宋"/>
          <w:color w:val="auto"/>
          <w:sz w:val="32"/>
          <w:szCs w:val="32"/>
          <w:highlight w:val="none"/>
        </w:rPr>
        <w:t>国家安全法治体系、战略体系、政策体系、人才体系和运行机制。坚决维护国家政权安全、制度安全、意识形态安全，充分运用现代科技手段严密防范和严厉打击敌对势力渗透、破坏、颠覆、分裂活动。加强国防动员能力建设，深入开展国家安全宣传教育，推进国家安全宣传教育常态化、制度化，增强全民国家安全意识，加强保密工作，完善档案管理。</w:t>
      </w:r>
    </w:p>
    <w:p>
      <w:pPr>
        <w:bidi w:val="0"/>
        <w:rPr>
          <w:rFonts w:hint="eastAsia"/>
          <w:color w:val="auto"/>
          <w:highlight w:val="none"/>
        </w:rPr>
      </w:pPr>
      <w:r>
        <w:rPr>
          <w:rFonts w:ascii="Times New Roman" w:hAnsi="Times New Roman"/>
          <w:b/>
          <w:bCs/>
          <w:color w:val="auto"/>
          <w:highlight w:val="none"/>
        </w:rPr>
        <w:t>维护保障网络安全</w:t>
      </w:r>
      <w:r>
        <w:rPr>
          <w:rFonts w:hint="eastAsia" w:ascii="Times New Roman" w:hAnsi="Times New Roman"/>
          <w:b/>
          <w:bCs/>
          <w:color w:val="auto"/>
          <w:highlight w:val="none"/>
          <w:lang w:eastAsia="zh-CN"/>
        </w:rPr>
        <w:t>。</w:t>
      </w:r>
      <w:r>
        <w:rPr>
          <w:rFonts w:hint="eastAsia" w:ascii="仿宋" w:hAnsi="仿宋" w:eastAsia="仿宋" w:cs="仿宋"/>
          <w:color w:val="auto"/>
          <w:sz w:val="32"/>
          <w:szCs w:val="32"/>
          <w:highlight w:val="none"/>
        </w:rPr>
        <w:t>加强信息基础设施网络安全防护，加强网络安全信息统筹机制、手段与平台建设。加强对重点行业和领域开展网络安全检查，加强云计算、大数据、</w:t>
      </w:r>
      <w:r>
        <w:rPr>
          <w:rFonts w:hint="eastAsia" w:ascii="Times New Roman" w:hAnsi="Times New Roman" w:cs="仿宋"/>
          <w:color w:val="auto"/>
          <w:sz w:val="32"/>
          <w:szCs w:val="32"/>
          <w:highlight w:val="none"/>
          <w:lang w:eastAsia="zh-CN"/>
        </w:rPr>
        <w:t>5G</w:t>
      </w:r>
      <w:r>
        <w:rPr>
          <w:rFonts w:hint="eastAsia" w:ascii="仿宋" w:hAnsi="仿宋" w:eastAsia="仿宋" w:cs="仿宋"/>
          <w:color w:val="auto"/>
          <w:sz w:val="32"/>
          <w:szCs w:val="32"/>
          <w:highlight w:val="none"/>
        </w:rPr>
        <w:t>、人工智能、区块链等新技术应用于网络安全评估，强化个人信息保护和数据安全管理，推进网络安全产业发展，强化网络安全</w:t>
      </w:r>
      <w:r>
        <w:rPr>
          <w:rFonts w:hint="eastAsia" w:ascii="仿宋" w:hAnsi="仿宋" w:cs="仿宋"/>
          <w:color w:val="auto"/>
          <w:sz w:val="32"/>
          <w:szCs w:val="32"/>
          <w:highlight w:val="none"/>
          <w:lang w:val="en-US" w:eastAsia="zh-CN"/>
        </w:rPr>
        <w:t>新</w:t>
      </w:r>
      <w:r>
        <w:rPr>
          <w:rFonts w:hint="eastAsia" w:ascii="仿宋" w:hAnsi="仿宋" w:eastAsia="仿宋" w:cs="仿宋"/>
          <w:color w:val="auto"/>
          <w:sz w:val="32"/>
          <w:szCs w:val="32"/>
          <w:highlight w:val="none"/>
        </w:rPr>
        <w:t>技术的研发储备。</w:t>
      </w:r>
      <w:r>
        <w:rPr>
          <w:color w:val="auto"/>
          <w:highlight w:val="none"/>
        </w:rPr>
        <w:t>推动网络安全宣传教育工作深入开展，增强居民网络安全意识，建立健全网络安全管理工作机制，提高网络安全风险防范和应对处置能力，深入开展网络安全知识技能普及，为湛江全力建设省域副中心城市、加快打造现代化沿海经济带重要发展极努力营造安全和谐的网络环境和网络舆论氛围。</w:t>
      </w:r>
      <w:r>
        <w:rPr>
          <w:rFonts w:hint="eastAsia"/>
          <w:color w:val="auto"/>
          <w:highlight w:val="none"/>
        </w:rPr>
        <w:t>完善网络社会综合防控体系，深化网安警务室，严厉打击网络违法犯罪。妥善处置各类敏感舆情，营造良好舆论生态。</w:t>
      </w:r>
    </w:p>
    <w:p>
      <w:pPr>
        <w:pStyle w:val="4"/>
        <w:bidi w:val="0"/>
        <w:jc w:val="center"/>
        <w:rPr>
          <w:rFonts w:hint="eastAsia"/>
          <w:color w:val="auto"/>
          <w:highlight w:val="none"/>
        </w:rPr>
      </w:pPr>
      <w:bookmarkStart w:id="322" w:name="_Toc28573"/>
      <w:bookmarkStart w:id="323" w:name="_Toc11243"/>
      <w:bookmarkStart w:id="324" w:name="_Toc9036"/>
      <w:bookmarkStart w:id="325" w:name="_Toc59523262"/>
      <w:r>
        <w:rPr>
          <w:rFonts w:hint="eastAsia"/>
          <w:color w:val="auto"/>
          <w:highlight w:val="none"/>
        </w:rPr>
        <w:t>第二节 筑牢经济安全底线</w:t>
      </w:r>
      <w:bookmarkEnd w:id="322"/>
      <w:bookmarkEnd w:id="323"/>
      <w:bookmarkEnd w:id="324"/>
      <w:bookmarkEnd w:id="325"/>
    </w:p>
    <w:p>
      <w:pPr>
        <w:widowControl w:val="0"/>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加强经济安全风险预警、防控机制和能力体系建设，确保粮食、能源等关键领域安全可控，防范化解金融隐患与风险，杜绝经济领域风险向社会、民生等领域传导。</w:t>
      </w:r>
    </w:p>
    <w:p>
      <w:pPr>
        <w:ind w:firstLine="643" w:firstLineChars="20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保障粮食安全。</w:t>
      </w:r>
      <w:r>
        <w:rPr>
          <w:rFonts w:hint="eastAsia" w:ascii="仿宋" w:hAnsi="仿宋" w:eastAsia="仿宋" w:cs="仿宋"/>
          <w:color w:val="auto"/>
          <w:sz w:val="32"/>
          <w:szCs w:val="32"/>
          <w:highlight w:val="none"/>
        </w:rPr>
        <w:t>加强粮食储备安全管理，优化储备品种结构和布局，充实成品粮油储备，推动储备适度集中，健全</w:t>
      </w:r>
      <w:r>
        <w:rPr>
          <w:rFonts w:hint="eastAsia" w:ascii="仿宋" w:hAnsi="仿宋" w:eastAsia="仿宋" w:cs="仿宋"/>
          <w:color w:val="auto"/>
          <w:sz w:val="32"/>
          <w:szCs w:val="32"/>
          <w:highlight w:val="none"/>
          <w:lang w:val="en-US" w:eastAsia="zh-CN"/>
        </w:rPr>
        <w:t>坡头</w:t>
      </w:r>
      <w:r>
        <w:rPr>
          <w:rFonts w:hint="eastAsia" w:ascii="仿宋" w:hAnsi="仿宋" w:eastAsia="仿宋" w:cs="仿宋"/>
          <w:color w:val="auto"/>
          <w:sz w:val="32"/>
          <w:szCs w:val="32"/>
          <w:highlight w:val="none"/>
        </w:rPr>
        <w:t>储备协同运作机制。抓好粮食市场化收购，稳定粮源供给渠道，推动粮食供给结构优化、品质提升。完善自然灾害、突发事件及市场急需应急物资储备机制，建立与不同领域、各商贸企业的物资保障应急联动机制，建立快捷高效的物资调拨调运模式，形成布局合理、点面结合的应急物资保障体系。</w:t>
      </w:r>
    </w:p>
    <w:p>
      <w:pPr>
        <w:ind w:firstLine="643" w:firstLineChars="20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保障能源安全。</w:t>
      </w:r>
      <w:r>
        <w:rPr>
          <w:rFonts w:hint="eastAsia" w:ascii="仿宋" w:hAnsi="仿宋" w:eastAsia="仿宋" w:cs="仿宋"/>
          <w:color w:val="auto"/>
          <w:sz w:val="32"/>
          <w:szCs w:val="32"/>
          <w:highlight w:val="none"/>
        </w:rPr>
        <w:t>保障能源供应安全，加强能源储备调节，完善能源风险应急管控。加大油气资源勘探开发，增强全</w:t>
      </w:r>
      <w:r>
        <w:rPr>
          <w:rFonts w:hint="eastAsia" w:ascii="仿宋" w:hAnsi="仿宋" w:eastAsia="仿宋" w:cs="仿宋"/>
          <w:color w:val="auto"/>
          <w:sz w:val="32"/>
          <w:szCs w:val="32"/>
          <w:highlight w:val="none"/>
          <w:lang w:val="en-US" w:eastAsia="zh-CN"/>
        </w:rPr>
        <w:t>区</w:t>
      </w:r>
      <w:r>
        <w:rPr>
          <w:rFonts w:hint="eastAsia" w:ascii="仿宋" w:hAnsi="仿宋" w:eastAsia="仿宋" w:cs="仿宋"/>
          <w:color w:val="auto"/>
          <w:sz w:val="32"/>
          <w:szCs w:val="32"/>
          <w:highlight w:val="none"/>
        </w:rPr>
        <w:t>能源供应保障能力。加强煤炭、石油、天然气等能源储备建设，提高电力调峰和应急能力，优化产供储销体系，建成层次清晰、组织有力、保障有效的能源安全储备体系。加强用户电力供应保障，配合省</w:t>
      </w:r>
      <w:r>
        <w:rPr>
          <w:rFonts w:hint="eastAsia" w:ascii="仿宋" w:hAnsi="仿宋" w:cs="仿宋"/>
          <w:color w:val="auto"/>
          <w:sz w:val="32"/>
          <w:szCs w:val="32"/>
          <w:highlight w:val="none"/>
          <w:lang w:val="en-US" w:eastAsia="zh-CN"/>
        </w:rPr>
        <w:t>市</w:t>
      </w:r>
      <w:r>
        <w:rPr>
          <w:rFonts w:hint="eastAsia" w:ascii="仿宋" w:hAnsi="仿宋" w:eastAsia="仿宋" w:cs="仿宋"/>
          <w:color w:val="auto"/>
          <w:sz w:val="32"/>
          <w:szCs w:val="32"/>
          <w:highlight w:val="none"/>
        </w:rPr>
        <w:t>建成“坚强统一电网联络支撑、本地保障电源分区平衡、应急自备电源承担兜底、应急移动电源作为补充”的四级保障体系。强化油气管道、重要输电通道等重要能源基础设施安全防护，提升能源网络安全管控水平。</w:t>
      </w:r>
    </w:p>
    <w:p>
      <w:pPr>
        <w:pStyle w:val="2"/>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保障金融安全。</w:t>
      </w:r>
      <w:r>
        <w:rPr>
          <w:rFonts w:hint="eastAsia" w:ascii="仿宋" w:hAnsi="仿宋" w:eastAsia="仿宋" w:cs="仿宋"/>
          <w:color w:val="auto"/>
          <w:sz w:val="32"/>
          <w:szCs w:val="32"/>
          <w:highlight w:val="none"/>
        </w:rPr>
        <w:t>完善金融风险防范化解长效机制，强化风险和监管信息共享，守住不发生区域性系统</w:t>
      </w:r>
      <w:r>
        <w:rPr>
          <w:rFonts w:hint="eastAsia" w:ascii="仿宋" w:hAnsi="仿宋" w:eastAsia="仿宋" w:cs="仿宋"/>
          <w:color w:val="auto"/>
          <w:kern w:val="2"/>
          <w:sz w:val="32"/>
          <w:szCs w:val="32"/>
          <w:highlight w:val="none"/>
          <w:lang w:val="en-US" w:eastAsia="zh-CN" w:bidi="ar-SA"/>
        </w:rPr>
        <w:t>性金融</w:t>
      </w:r>
      <w:r>
        <w:rPr>
          <w:rFonts w:hint="eastAsia" w:ascii="仿宋" w:hAnsi="仿宋" w:eastAsia="仿宋" w:cs="仿宋"/>
          <w:color w:val="auto"/>
          <w:sz w:val="32"/>
          <w:szCs w:val="32"/>
          <w:highlight w:val="none"/>
        </w:rPr>
        <w:t>风险底线。加强经济金融运行动态监测和分析，建立健全金融风险处置机制，持续化解重点领域金融风险。严厉打击非法集资、非法证券、金融诈骗等违法犯罪行为，取缔非法金融机构，维护金融秩序。加强地方金融风险监测平台建设，持续提升地方金融风险监测能力。</w:t>
      </w:r>
    </w:p>
    <w:p>
      <w:pPr>
        <w:pStyle w:val="4"/>
        <w:spacing w:before="62" w:after="62"/>
        <w:ind w:firstLine="0"/>
        <w:jc w:val="center"/>
        <w:rPr>
          <w:rFonts w:hint="eastAsia" w:ascii="宋体" w:hAnsi="宋体"/>
          <w:color w:val="auto"/>
          <w:highlight w:val="none"/>
        </w:rPr>
      </w:pPr>
      <w:bookmarkStart w:id="326" w:name="_Toc22557"/>
      <w:bookmarkStart w:id="327" w:name="_Toc17101"/>
      <w:bookmarkStart w:id="328" w:name="_Toc17146"/>
      <w:bookmarkStart w:id="329" w:name="_Toc59523263"/>
      <w:r>
        <w:rPr>
          <w:rFonts w:hint="eastAsia" w:ascii="宋体" w:hAnsi="宋体"/>
          <w:color w:val="auto"/>
          <w:highlight w:val="none"/>
        </w:rPr>
        <w:t>第三节 保障社会公共安全</w:t>
      </w:r>
      <w:bookmarkEnd w:id="326"/>
      <w:bookmarkEnd w:id="327"/>
      <w:bookmarkEnd w:id="328"/>
      <w:bookmarkEnd w:id="329"/>
    </w:p>
    <w:p>
      <w:pPr>
        <w:widowControl w:val="0"/>
        <w:ind w:firstLine="640" w:firstLineChars="200"/>
        <w:rPr>
          <w:rFonts w:hint="eastAsia" w:ascii="仿宋" w:hAnsi="仿宋" w:eastAsia="仿宋" w:cs="仿宋"/>
          <w:color w:val="auto"/>
          <w:sz w:val="32"/>
          <w:szCs w:val="32"/>
          <w:highlight w:val="none"/>
        </w:rPr>
      </w:pPr>
      <w:r>
        <w:rPr>
          <w:rFonts w:hint="eastAsia" w:ascii="仿宋" w:hAnsi="仿宋" w:cs="仿宋"/>
          <w:color w:val="auto"/>
          <w:sz w:val="32"/>
          <w:szCs w:val="32"/>
          <w:highlight w:val="none"/>
          <w:lang w:val="en-US" w:eastAsia="zh-CN"/>
        </w:rPr>
        <w:t>坚持人民至上、生命至上，</w:t>
      </w:r>
      <w:r>
        <w:rPr>
          <w:rFonts w:hint="eastAsia" w:ascii="仿宋" w:hAnsi="仿宋" w:eastAsia="仿宋" w:cs="仿宋"/>
          <w:color w:val="auto"/>
          <w:sz w:val="32"/>
          <w:szCs w:val="32"/>
          <w:highlight w:val="none"/>
        </w:rPr>
        <w:t>健全公共安全体系，加强安全生产监督，保障公众食品安全，提高公共安全水平，增强人民群众安全感。</w:t>
      </w:r>
    </w:p>
    <w:p>
      <w:pPr>
        <w:widowControl w:val="0"/>
        <w:ind w:firstLine="643" w:firstLineChars="20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健全安全生产管理</w:t>
      </w:r>
      <w:r>
        <w:rPr>
          <w:rFonts w:hint="eastAsia" w:ascii="仿宋" w:hAnsi="仿宋" w:cs="仿宋"/>
          <w:b/>
          <w:bCs/>
          <w:color w:val="auto"/>
          <w:sz w:val="32"/>
          <w:szCs w:val="32"/>
          <w:highlight w:val="none"/>
          <w:lang w:val="en-US" w:eastAsia="zh-CN"/>
        </w:rPr>
        <w:t>体系</w:t>
      </w:r>
      <w:r>
        <w:rPr>
          <w:rFonts w:hint="eastAsia" w:ascii="仿宋" w:hAnsi="仿宋" w:eastAsia="仿宋" w:cs="仿宋"/>
          <w:b/>
          <w:bCs/>
          <w:color w:val="auto"/>
          <w:sz w:val="32"/>
          <w:szCs w:val="32"/>
          <w:highlight w:val="none"/>
        </w:rPr>
        <w:t>。</w:t>
      </w:r>
      <w:r>
        <w:rPr>
          <w:rFonts w:hint="eastAsia" w:ascii="仿宋" w:hAnsi="仿宋" w:cs="仿宋"/>
          <w:b w:val="0"/>
          <w:bCs w:val="0"/>
          <w:color w:val="auto"/>
          <w:sz w:val="32"/>
          <w:szCs w:val="32"/>
          <w:highlight w:val="none"/>
          <w:lang w:val="en-US" w:eastAsia="zh-CN"/>
        </w:rPr>
        <w:t>改革创新安全生产监督机制，</w:t>
      </w:r>
      <w:r>
        <w:rPr>
          <w:rFonts w:hint="eastAsia" w:ascii="仿宋" w:hAnsi="仿宋" w:eastAsia="仿宋" w:cs="仿宋"/>
          <w:color w:val="auto"/>
          <w:sz w:val="32"/>
          <w:szCs w:val="32"/>
          <w:highlight w:val="none"/>
        </w:rPr>
        <w:t>大力推行隐患排查治理和风险分级管控双重预防机制，加快建立完善隐患排查治理体系，对危险化学品、化工行业、油气输送管道等高风险行业企业实行安全风险分级分类监督，对建筑工程、工业生产高危领域实行重点管理。落实安全生产责任制，强化问效问责。加强全民安全意识教育，加大安全生产普法宣传力度，健全应急管理新闻发布和舆情应对机制，增强警示和教育作用。切实降低事故总量，有效遏制重特大事故发生。</w:t>
      </w:r>
    </w:p>
    <w:p>
      <w:pPr>
        <w:rPr>
          <w:rFonts w:hint="eastAsia" w:ascii="仿宋" w:hAnsi="仿宋" w:eastAsia="仿宋" w:cs="仿宋"/>
          <w:color w:val="auto"/>
          <w:sz w:val="32"/>
          <w:szCs w:val="32"/>
          <w:highlight w:val="none"/>
        </w:rPr>
        <w:sectPr>
          <w:footerReference r:id="rId13" w:type="default"/>
          <w:pgSz w:w="11906" w:h="16838"/>
          <w:pgMar w:top="1440" w:right="1800" w:bottom="1440" w:left="1800" w:header="851" w:footer="992" w:gutter="0"/>
          <w:cols w:space="720" w:num="1"/>
          <w:docGrid w:type="lines" w:linePitch="312" w:charSpace="0"/>
        </w:sectPr>
      </w:pPr>
      <w:r>
        <w:rPr>
          <w:rFonts w:hint="eastAsia" w:ascii="仿宋" w:hAnsi="仿宋" w:eastAsia="仿宋" w:cs="仿宋"/>
          <w:b/>
          <w:bCs/>
          <w:color w:val="auto"/>
          <w:sz w:val="32"/>
          <w:szCs w:val="32"/>
          <w:highlight w:val="none"/>
        </w:rPr>
        <w:t>保障食品药品安全。</w:t>
      </w:r>
      <w:r>
        <w:rPr>
          <w:rFonts w:hint="eastAsia" w:ascii="仿宋" w:hAnsi="仿宋" w:eastAsia="仿宋" w:cs="仿宋"/>
          <w:color w:val="auto"/>
          <w:sz w:val="32"/>
          <w:szCs w:val="32"/>
          <w:highlight w:val="none"/>
        </w:rPr>
        <w:t>强化食品安全监管，继续提升食品抽检每千人批次量，建立科学的食品安全标准体系，加强源头治理和风险管控，强化属地管理责任，提升智慧监管手段。强化药品安全监管，建立健全药品、医疗器械和化妆品监管安全治理体系，加强药品检验检测技术支撑机构能力建设。强化工业产品质量安全监管，探索实施产品质量分类监管机制，深化监督抽查制度改革，健全产品质量安全溯源监管体系。</w:t>
      </w:r>
    </w:p>
    <w:p>
      <w:pPr>
        <w:pStyle w:val="3"/>
        <w:spacing w:before="156" w:after="156"/>
        <w:jc w:val="center"/>
        <w:rPr>
          <w:color w:val="auto"/>
          <w:highlight w:val="none"/>
        </w:rPr>
      </w:pPr>
      <w:bookmarkStart w:id="330" w:name="_Toc4805"/>
      <w:r>
        <w:rPr>
          <w:rFonts w:hint="eastAsia"/>
          <w:color w:val="auto"/>
          <w:highlight w:val="none"/>
          <w:lang w:val="en-US" w:eastAsia="zh-CN"/>
        </w:rPr>
        <w:t>第</w:t>
      </w:r>
      <w:r>
        <w:rPr>
          <w:color w:val="auto"/>
          <w:highlight w:val="none"/>
        </w:rPr>
        <w:t>十</w:t>
      </w:r>
      <w:r>
        <w:rPr>
          <w:rFonts w:hint="eastAsia"/>
          <w:color w:val="auto"/>
          <w:highlight w:val="none"/>
          <w:lang w:val="en-US" w:eastAsia="zh-CN"/>
        </w:rPr>
        <w:t>四</w:t>
      </w:r>
      <w:r>
        <w:rPr>
          <w:color w:val="auto"/>
          <w:highlight w:val="none"/>
        </w:rPr>
        <w:t xml:space="preserve">章  </w:t>
      </w:r>
      <w:bookmarkEnd w:id="311"/>
      <w:bookmarkEnd w:id="312"/>
      <w:bookmarkEnd w:id="313"/>
      <w:bookmarkEnd w:id="314"/>
      <w:bookmarkEnd w:id="315"/>
      <w:bookmarkEnd w:id="316"/>
      <w:r>
        <w:rPr>
          <w:rFonts w:hint="eastAsia"/>
          <w:color w:val="auto"/>
          <w:highlight w:val="none"/>
        </w:rPr>
        <w:t>完善规划保障 聚焦纲要实施新要求</w:t>
      </w:r>
      <w:bookmarkEnd w:id="330"/>
    </w:p>
    <w:p>
      <w:pPr>
        <w:bidi w:val="0"/>
        <w:rPr>
          <w:rFonts w:hint="default"/>
          <w:color w:val="auto"/>
          <w:highlight w:val="none"/>
        </w:rPr>
      </w:pPr>
      <w:bookmarkStart w:id="331" w:name="_Toc26103"/>
      <w:bookmarkStart w:id="332" w:name="_Toc10952"/>
      <w:bookmarkStart w:id="333" w:name="_Toc4204"/>
      <w:bookmarkStart w:id="334" w:name="_Toc11050"/>
      <w:bookmarkStart w:id="335" w:name="_Toc53003208"/>
      <w:bookmarkStart w:id="336" w:name="_Toc15954"/>
      <w:r>
        <w:rPr>
          <w:rFonts w:hint="default"/>
          <w:color w:val="auto"/>
          <w:highlight w:val="none"/>
        </w:rPr>
        <w:t>严格履行政府职责，强化规划实施的思想政治保证和组织保证，进一步完善规划体系，营造良好发展环境，调动各方面积极性、主动性、创造性，凝心聚力把宏伟蓝图变为美好现实。</w:t>
      </w:r>
    </w:p>
    <w:p>
      <w:pPr>
        <w:pStyle w:val="4"/>
        <w:spacing w:before="62" w:after="62"/>
        <w:ind w:firstLine="0"/>
        <w:jc w:val="center"/>
        <w:rPr>
          <w:rFonts w:hint="default" w:ascii="宋体" w:hAnsi="宋体"/>
          <w:color w:val="auto"/>
          <w:highlight w:val="none"/>
        </w:rPr>
      </w:pPr>
      <w:bookmarkStart w:id="337" w:name="_Toc5650"/>
      <w:r>
        <w:rPr>
          <w:rFonts w:hint="default" w:ascii="宋体" w:hAnsi="宋体"/>
          <w:color w:val="auto"/>
          <w:highlight w:val="none"/>
        </w:rPr>
        <w:t>第一节 加强组织保障</w:t>
      </w:r>
      <w:bookmarkEnd w:id="331"/>
      <w:bookmarkEnd w:id="332"/>
      <w:bookmarkEnd w:id="333"/>
      <w:bookmarkEnd w:id="334"/>
      <w:bookmarkEnd w:id="335"/>
      <w:bookmarkEnd w:id="336"/>
      <w:bookmarkEnd w:id="337"/>
    </w:p>
    <w:p>
      <w:pPr>
        <w:ind w:firstLine="640"/>
        <w:rPr>
          <w:color w:val="auto"/>
          <w:highlight w:val="none"/>
        </w:rPr>
      </w:pPr>
      <w:r>
        <w:rPr>
          <w:color w:val="auto"/>
          <w:highlight w:val="none"/>
        </w:rPr>
        <w:t>高举习近平新时代中国特色社会主义思想伟大旗帜，增强</w:t>
      </w:r>
      <w:r>
        <w:rPr>
          <w:rFonts w:hint="eastAsia"/>
          <w:color w:val="auto"/>
          <w:highlight w:val="none"/>
        </w:rPr>
        <w:t>“</w:t>
      </w:r>
      <w:r>
        <w:rPr>
          <w:color w:val="auto"/>
          <w:highlight w:val="none"/>
        </w:rPr>
        <w:t>四个意识</w:t>
      </w:r>
      <w:r>
        <w:rPr>
          <w:rFonts w:hint="eastAsia"/>
          <w:color w:val="auto"/>
          <w:highlight w:val="none"/>
        </w:rPr>
        <w:t>”</w:t>
      </w:r>
      <w:r>
        <w:rPr>
          <w:color w:val="auto"/>
          <w:highlight w:val="none"/>
        </w:rPr>
        <w:t>、坚定</w:t>
      </w:r>
      <w:r>
        <w:rPr>
          <w:rFonts w:hint="eastAsia"/>
          <w:color w:val="auto"/>
          <w:highlight w:val="none"/>
        </w:rPr>
        <w:t>“</w:t>
      </w:r>
      <w:r>
        <w:rPr>
          <w:color w:val="auto"/>
          <w:highlight w:val="none"/>
        </w:rPr>
        <w:t>四个自信</w:t>
      </w:r>
      <w:r>
        <w:rPr>
          <w:rFonts w:hint="eastAsia"/>
          <w:color w:val="auto"/>
          <w:highlight w:val="none"/>
        </w:rPr>
        <w:t>”</w:t>
      </w:r>
      <w:r>
        <w:rPr>
          <w:color w:val="auto"/>
          <w:highlight w:val="none"/>
        </w:rPr>
        <w:t>、做到</w:t>
      </w:r>
      <w:r>
        <w:rPr>
          <w:rFonts w:hint="eastAsia"/>
          <w:color w:val="auto"/>
          <w:highlight w:val="none"/>
        </w:rPr>
        <w:t>“</w:t>
      </w:r>
      <w:r>
        <w:rPr>
          <w:color w:val="auto"/>
          <w:highlight w:val="none"/>
        </w:rPr>
        <w:t>两个维护</w:t>
      </w:r>
      <w:r>
        <w:rPr>
          <w:rFonts w:hint="eastAsia"/>
          <w:color w:val="auto"/>
          <w:highlight w:val="none"/>
        </w:rPr>
        <w:t>”</w:t>
      </w:r>
      <w:r>
        <w:rPr>
          <w:color w:val="auto"/>
          <w:highlight w:val="none"/>
        </w:rPr>
        <w:t>。</w:t>
      </w:r>
      <w:r>
        <w:rPr>
          <w:rFonts w:hint="eastAsia"/>
          <w:color w:val="auto"/>
          <w:highlight w:val="none"/>
        </w:rPr>
        <w:t>坚持党要管党、全面从严治党</w:t>
      </w:r>
      <w:r>
        <w:rPr>
          <w:color w:val="auto"/>
          <w:highlight w:val="none"/>
        </w:rPr>
        <w:t>，充分发挥各级党组织的领导核心作用，着力提高党领导经济社会发展的能力和水平，不断增强党的创造力、凝聚力和战斗力，为</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规划</w:t>
      </w:r>
      <w:r>
        <w:rPr>
          <w:rFonts w:hint="eastAsia"/>
          <w:color w:val="auto"/>
          <w:highlight w:val="none"/>
        </w:rPr>
        <w:t>纲要</w:t>
      </w:r>
      <w:r>
        <w:rPr>
          <w:color w:val="auto"/>
          <w:highlight w:val="none"/>
        </w:rPr>
        <w:t>的顺利实施提供坚强政治保证。</w:t>
      </w:r>
      <w:r>
        <w:rPr>
          <w:rFonts w:hint="eastAsia"/>
          <w:color w:val="auto"/>
          <w:highlight w:val="none"/>
        </w:rPr>
        <w:t>完善整治“四风”制度机制，严防和纠正在推进规划实施过程中形式主义、官僚主义问题。坚持依法统计依法治统，防范统计造假弄虚作假，不断提升源头数据质量，切实维护政府统计数据的权威性和公信力。</w:t>
      </w:r>
    </w:p>
    <w:p>
      <w:pPr>
        <w:pStyle w:val="4"/>
        <w:spacing w:before="62" w:after="62"/>
        <w:ind w:firstLine="0"/>
        <w:jc w:val="center"/>
        <w:rPr>
          <w:rFonts w:hint="default" w:ascii="宋体" w:hAnsi="宋体"/>
          <w:color w:val="auto"/>
          <w:highlight w:val="none"/>
        </w:rPr>
      </w:pPr>
      <w:bookmarkStart w:id="338" w:name="_Toc10822"/>
      <w:bookmarkStart w:id="339" w:name="_Toc13266"/>
      <w:bookmarkStart w:id="340" w:name="_Toc9441"/>
      <w:bookmarkStart w:id="341" w:name="_Toc32384"/>
      <w:bookmarkStart w:id="342" w:name="_Toc21650"/>
      <w:bookmarkStart w:id="343" w:name="_Toc53003209"/>
      <w:bookmarkStart w:id="344" w:name="_Toc2175"/>
      <w:r>
        <w:rPr>
          <w:rFonts w:hint="default" w:ascii="宋体" w:hAnsi="宋体"/>
          <w:color w:val="auto"/>
          <w:highlight w:val="none"/>
        </w:rPr>
        <w:t>第二节 统筹要素保障</w:t>
      </w:r>
      <w:bookmarkEnd w:id="338"/>
      <w:bookmarkEnd w:id="339"/>
      <w:bookmarkEnd w:id="340"/>
      <w:bookmarkEnd w:id="341"/>
      <w:bookmarkEnd w:id="342"/>
      <w:bookmarkEnd w:id="343"/>
      <w:bookmarkEnd w:id="344"/>
    </w:p>
    <w:p>
      <w:pPr>
        <w:ind w:firstLine="640"/>
        <w:rPr>
          <w:color w:val="auto"/>
          <w:highlight w:val="none"/>
        </w:rPr>
      </w:pPr>
      <w:r>
        <w:rPr>
          <w:color w:val="auto"/>
          <w:highlight w:val="none"/>
        </w:rPr>
        <w:t>加强土地、资金、环境、科技、人才、市场等要素的保障。提高土地利用效益，合理调控土地供给，优化土地资源配置，完善空间布局，实行土地集约利用。加大财政支持力度，优化财政支出结构，提高民生、公共服务和城乡一体化等领域的财政支出和项目投入，保证重大项目落地和保障重点平台建设的资金需求。</w:t>
      </w:r>
    </w:p>
    <w:p>
      <w:pPr>
        <w:pStyle w:val="4"/>
        <w:spacing w:before="62" w:after="62"/>
        <w:ind w:firstLine="0"/>
        <w:jc w:val="center"/>
        <w:rPr>
          <w:rFonts w:hint="default" w:ascii="宋体" w:hAnsi="宋体"/>
          <w:color w:val="auto"/>
          <w:highlight w:val="none"/>
        </w:rPr>
      </w:pPr>
      <w:bookmarkStart w:id="345" w:name="_Toc7818"/>
      <w:bookmarkStart w:id="346" w:name="_Toc8950"/>
      <w:bookmarkStart w:id="347" w:name="_Toc4653"/>
      <w:bookmarkStart w:id="348" w:name="_Toc3498"/>
      <w:bookmarkStart w:id="349" w:name="_Toc25914"/>
      <w:bookmarkStart w:id="350" w:name="_Toc19516"/>
      <w:bookmarkStart w:id="351" w:name="_Toc53003210"/>
      <w:r>
        <w:rPr>
          <w:rFonts w:hint="default" w:ascii="宋体" w:hAnsi="宋体"/>
          <w:color w:val="auto"/>
          <w:highlight w:val="none"/>
        </w:rPr>
        <w:t>第三节 强化项目支撑</w:t>
      </w:r>
      <w:bookmarkEnd w:id="345"/>
      <w:bookmarkEnd w:id="346"/>
      <w:bookmarkEnd w:id="347"/>
      <w:bookmarkEnd w:id="348"/>
      <w:bookmarkEnd w:id="349"/>
      <w:bookmarkEnd w:id="350"/>
      <w:bookmarkEnd w:id="351"/>
    </w:p>
    <w:p>
      <w:pPr>
        <w:ind w:firstLine="640"/>
        <w:rPr>
          <w:color w:val="auto"/>
          <w:highlight w:val="none"/>
        </w:rPr>
      </w:pPr>
      <w:r>
        <w:rPr>
          <w:color w:val="auto"/>
          <w:highlight w:val="none"/>
        </w:rPr>
        <w:t>充分发挥重大项目对经济社会发展和城市建设的关键性、支撑性作用，按照谋划引进一批、建设推进一批、建成投产一批</w:t>
      </w:r>
      <w:r>
        <w:rPr>
          <w:rFonts w:hint="eastAsia"/>
          <w:color w:val="auto"/>
          <w:highlight w:val="none"/>
        </w:rPr>
        <w:t>“</w:t>
      </w:r>
      <w:r>
        <w:rPr>
          <w:color w:val="auto"/>
          <w:highlight w:val="none"/>
        </w:rPr>
        <w:t>三个一批</w:t>
      </w:r>
      <w:r>
        <w:rPr>
          <w:rFonts w:hint="eastAsia"/>
          <w:color w:val="auto"/>
          <w:highlight w:val="none"/>
        </w:rPr>
        <w:t>”</w:t>
      </w:r>
      <w:r>
        <w:rPr>
          <w:color w:val="auto"/>
          <w:highlight w:val="none"/>
        </w:rPr>
        <w:t>的思路，遴选百宗以上事关全局性、战略性、基础性的重大基础设施项目、重大产业项目和重要民生工程纳入</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规划纲要加以重点推进建设。</w:t>
      </w:r>
      <w:r>
        <w:rPr>
          <w:rFonts w:hint="eastAsia"/>
          <w:color w:val="auto"/>
          <w:highlight w:val="none"/>
        </w:rPr>
        <w:t>“十四五”</w:t>
      </w:r>
      <w:r>
        <w:rPr>
          <w:rFonts w:hint="eastAsia"/>
          <w:color w:val="auto"/>
          <w:highlight w:val="none"/>
          <w:lang w:val="en-US" w:eastAsia="zh-CN"/>
        </w:rPr>
        <w:t>时期</w:t>
      </w:r>
      <w:r>
        <w:rPr>
          <w:rFonts w:hint="eastAsia"/>
          <w:color w:val="auto"/>
          <w:highlight w:val="none"/>
        </w:rPr>
        <w:t>坡头区规划拟定</w:t>
      </w:r>
      <w:r>
        <w:rPr>
          <w:rFonts w:hint="eastAsia"/>
          <w:color w:val="auto"/>
          <w:highlight w:val="none"/>
          <w:lang w:val="en-US" w:eastAsia="zh-CN"/>
        </w:rPr>
        <w:t>重点</w:t>
      </w:r>
      <w:r>
        <w:rPr>
          <w:rFonts w:hint="eastAsia"/>
          <w:color w:val="auto"/>
          <w:highlight w:val="none"/>
        </w:rPr>
        <w:t>项目共</w:t>
      </w:r>
      <w:r>
        <w:rPr>
          <w:rFonts w:hint="eastAsia" w:ascii="Times New Roman" w:hAnsi="Times New Roman"/>
          <w:color w:val="auto"/>
          <w:highlight w:val="none"/>
          <w:lang w:val="en-US" w:eastAsia="zh-CN"/>
        </w:rPr>
        <w:t>150</w:t>
      </w:r>
      <w:r>
        <w:rPr>
          <w:rFonts w:hint="eastAsia"/>
          <w:color w:val="auto"/>
          <w:highlight w:val="none"/>
        </w:rPr>
        <w:t>个项目，</w:t>
      </w:r>
      <w:r>
        <w:rPr>
          <w:rFonts w:hint="eastAsia"/>
          <w:color w:val="auto"/>
          <w:szCs w:val="22"/>
          <w:highlight w:val="none"/>
        </w:rPr>
        <w:t>总投资金额为</w:t>
      </w:r>
      <w:r>
        <w:rPr>
          <w:rFonts w:hint="eastAsia" w:ascii="Times New Roman" w:hAnsi="Times New Roman"/>
          <w:color w:val="auto"/>
          <w:szCs w:val="22"/>
          <w:highlight w:val="none"/>
          <w:lang w:val="en-US" w:eastAsia="zh-CN"/>
        </w:rPr>
        <w:t>1818</w:t>
      </w:r>
      <w:r>
        <w:rPr>
          <w:rFonts w:hint="eastAsia"/>
          <w:color w:val="auto"/>
          <w:highlight w:val="none"/>
          <w:lang w:val="en-US" w:eastAsia="zh-CN"/>
        </w:rPr>
        <w:t>亿</w:t>
      </w:r>
      <w:r>
        <w:rPr>
          <w:rFonts w:hint="eastAsia"/>
          <w:color w:val="auto"/>
          <w:highlight w:val="none"/>
        </w:rPr>
        <w:t>元，</w:t>
      </w:r>
      <w:r>
        <w:rPr>
          <w:rFonts w:hint="eastAsia"/>
          <w:color w:val="auto"/>
          <w:szCs w:val="22"/>
          <w:highlight w:val="none"/>
          <w:lang w:eastAsia="zh-CN"/>
        </w:rPr>
        <w:t>“十四五”</w:t>
      </w:r>
      <w:r>
        <w:rPr>
          <w:rFonts w:hint="eastAsia"/>
          <w:color w:val="auto"/>
          <w:szCs w:val="22"/>
          <w:highlight w:val="none"/>
        </w:rPr>
        <w:t>期间计划完成投资</w:t>
      </w:r>
      <w:r>
        <w:rPr>
          <w:rFonts w:hint="eastAsia" w:ascii="Times New Roman" w:hAnsi="Times New Roman"/>
          <w:color w:val="auto"/>
          <w:szCs w:val="22"/>
          <w:highlight w:val="none"/>
          <w:lang w:eastAsia="zh-CN"/>
        </w:rPr>
        <w:t>6</w:t>
      </w:r>
      <w:r>
        <w:rPr>
          <w:rFonts w:hint="eastAsia" w:ascii="Times New Roman" w:hAnsi="Times New Roman"/>
          <w:color w:val="auto"/>
          <w:szCs w:val="22"/>
          <w:highlight w:val="none"/>
          <w:lang w:val="en-US" w:eastAsia="zh-CN"/>
        </w:rPr>
        <w:t>80</w:t>
      </w:r>
      <w:r>
        <w:rPr>
          <w:rFonts w:hint="eastAsia"/>
          <w:color w:val="auto"/>
          <w:szCs w:val="22"/>
          <w:highlight w:val="none"/>
          <w:lang w:val="en-US" w:eastAsia="zh-CN"/>
        </w:rPr>
        <w:t>亿</w:t>
      </w:r>
      <w:r>
        <w:rPr>
          <w:rFonts w:hint="eastAsia"/>
          <w:color w:val="auto"/>
          <w:szCs w:val="22"/>
          <w:highlight w:val="none"/>
        </w:rPr>
        <w:t>元。</w:t>
      </w:r>
    </w:p>
    <w:p>
      <w:pPr>
        <w:pStyle w:val="4"/>
        <w:spacing w:before="62" w:after="62"/>
        <w:ind w:firstLine="0"/>
        <w:jc w:val="center"/>
        <w:rPr>
          <w:rFonts w:hint="default" w:ascii="宋体" w:hAnsi="宋体"/>
          <w:color w:val="auto"/>
          <w:highlight w:val="none"/>
        </w:rPr>
      </w:pPr>
      <w:bookmarkStart w:id="352" w:name="_Toc8584"/>
      <w:bookmarkStart w:id="353" w:name="_Toc53003211"/>
      <w:bookmarkStart w:id="354" w:name="_Toc14555"/>
      <w:bookmarkStart w:id="355" w:name="_Toc16317"/>
      <w:bookmarkStart w:id="356" w:name="_Toc17504"/>
      <w:bookmarkStart w:id="357" w:name="_Toc21546"/>
      <w:bookmarkStart w:id="358" w:name="_Toc7648"/>
      <w:r>
        <w:rPr>
          <w:rFonts w:hint="default" w:ascii="宋体" w:hAnsi="宋体"/>
          <w:color w:val="auto"/>
          <w:highlight w:val="none"/>
        </w:rPr>
        <w:t>第四节 完善规划体系</w:t>
      </w:r>
      <w:bookmarkEnd w:id="352"/>
      <w:bookmarkEnd w:id="353"/>
      <w:bookmarkEnd w:id="354"/>
      <w:bookmarkEnd w:id="355"/>
      <w:bookmarkEnd w:id="356"/>
      <w:bookmarkEnd w:id="357"/>
      <w:bookmarkEnd w:id="358"/>
    </w:p>
    <w:p>
      <w:pPr>
        <w:ind w:firstLine="640"/>
        <w:rPr>
          <w:rFonts w:hint="default"/>
          <w:color w:val="auto"/>
          <w:highlight w:val="none"/>
        </w:rPr>
      </w:pPr>
      <w:r>
        <w:rPr>
          <w:color w:val="auto"/>
          <w:highlight w:val="none"/>
        </w:rPr>
        <w:t>完成并实施空间国土规划，推进各重点专项规划编制，形成系统完善的</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规划体系。进一步完善规划衔接协调机制，加强各级各类规划的有效对接，确保全区的总体战略、发展布局、重要目标、重大任务得到贯彻落实。争取将坡头区重大规划、重大项目、重点工程纳入广东省、湛江市的相关总体规划中，争取在资金安排、项目布局等方面给予坡头更大的支持。</w:t>
      </w:r>
      <w:bookmarkStart w:id="359" w:name="_Toc26881"/>
      <w:bookmarkStart w:id="360" w:name="_Toc53003212"/>
      <w:bookmarkStart w:id="361" w:name="_Toc14944"/>
      <w:bookmarkStart w:id="362" w:name="_Toc19188"/>
      <w:bookmarkStart w:id="363" w:name="_Toc4415"/>
      <w:bookmarkStart w:id="364" w:name="_Toc20594"/>
    </w:p>
    <w:p>
      <w:pPr>
        <w:pStyle w:val="4"/>
        <w:spacing w:before="62" w:after="62"/>
        <w:ind w:firstLine="0"/>
        <w:jc w:val="center"/>
        <w:rPr>
          <w:rFonts w:hint="default" w:ascii="宋体" w:hAnsi="宋体"/>
          <w:color w:val="auto"/>
          <w:highlight w:val="none"/>
        </w:rPr>
      </w:pPr>
      <w:bookmarkStart w:id="365" w:name="_Toc19684"/>
      <w:r>
        <w:rPr>
          <w:rFonts w:hint="default" w:ascii="宋体" w:hAnsi="宋体"/>
          <w:color w:val="auto"/>
          <w:highlight w:val="none"/>
        </w:rPr>
        <w:t>第五节 增强监督考评</w:t>
      </w:r>
      <w:bookmarkEnd w:id="359"/>
      <w:bookmarkEnd w:id="360"/>
      <w:bookmarkEnd w:id="361"/>
      <w:bookmarkEnd w:id="362"/>
      <w:bookmarkEnd w:id="363"/>
      <w:bookmarkEnd w:id="364"/>
      <w:bookmarkEnd w:id="365"/>
    </w:p>
    <w:p>
      <w:pPr>
        <w:ind w:firstLine="640"/>
        <w:rPr>
          <w:color w:val="auto"/>
          <w:highlight w:val="none"/>
        </w:rPr>
      </w:pPr>
      <w:r>
        <w:rPr>
          <w:color w:val="auto"/>
          <w:highlight w:val="none"/>
        </w:rPr>
        <w:t>结合坡头实际，制定创新驱动发展监测指标体系，开展坡头区以及各镇街的创新发展监测和评估，加强规划实施的监督考核。健全完善目标责任制，把主要目标完成情况纳入到对各区党政领导班子实绩考核评价的重要依据。研究制定创新驱动发展的任务台账和考核办法，明确时间进度，不断发现问题、及时解决问题，确保目标任务如期优质圆满完成。</w:t>
      </w:r>
    </w:p>
    <w:p>
      <w:pPr>
        <w:rPr>
          <w:color w:val="auto"/>
          <w:highlight w:val="none"/>
        </w:rPr>
      </w:pPr>
      <w:r>
        <w:rPr>
          <w:color w:val="auto"/>
          <w:highlight w:val="none"/>
        </w:rPr>
        <w:br w:type="page"/>
      </w:r>
    </w:p>
    <w:p>
      <w:pPr>
        <w:pStyle w:val="13"/>
        <w:widowControl/>
        <w:shd w:val="clear" w:color="auto" w:fill="auto"/>
        <w:spacing w:before="0" w:beforeAutospacing="0" w:after="0" w:afterAutospacing="0" w:line="375" w:lineRule="atLeast"/>
        <w:ind w:left="0" w:leftChars="0" w:firstLine="0" w:firstLineChars="0"/>
        <w:jc w:val="center"/>
        <w:rPr>
          <w:rStyle w:val="17"/>
          <w:rFonts w:hint="eastAsia" w:ascii="楷体_GB2312" w:hAnsi="微软雅黑" w:eastAsia="楷体_GB2312" w:cs="楷体_GB2312"/>
          <w:color w:val="auto"/>
          <w:sz w:val="28"/>
          <w:szCs w:val="28"/>
          <w:highlight w:val="none"/>
          <w:shd w:val="clear" w:color="auto" w:fill="FFFFFF"/>
        </w:rPr>
      </w:pPr>
      <w:r>
        <w:rPr>
          <w:rFonts w:hint="eastAsia" w:ascii="Cambria" w:hAnsi="Cambria" w:eastAsia="黑体"/>
          <w:color w:val="auto"/>
          <w:kern w:val="44"/>
          <w:sz w:val="32"/>
          <w:szCs w:val="32"/>
          <w:highlight w:val="none"/>
        </w:rPr>
        <w:t>名</w:t>
      </w:r>
      <w:r>
        <w:rPr>
          <w:rFonts w:hint="eastAsia" w:ascii="Cambria" w:hAnsi="Cambria" w:eastAsia="黑体"/>
          <w:color w:val="auto"/>
          <w:kern w:val="44"/>
          <w:sz w:val="32"/>
          <w:szCs w:val="32"/>
          <w:highlight w:val="none"/>
          <w:lang w:val="en-US" w:eastAsia="zh-CN"/>
        </w:rPr>
        <w:t xml:space="preserve"> </w:t>
      </w:r>
      <w:r>
        <w:rPr>
          <w:rFonts w:hint="eastAsia" w:ascii="Cambria" w:hAnsi="Cambria" w:eastAsia="黑体"/>
          <w:color w:val="auto"/>
          <w:kern w:val="44"/>
          <w:sz w:val="32"/>
          <w:szCs w:val="32"/>
          <w:highlight w:val="none"/>
        </w:rPr>
        <w:t>词</w:t>
      </w:r>
      <w:r>
        <w:rPr>
          <w:rFonts w:hint="eastAsia" w:ascii="Cambria" w:hAnsi="Cambria" w:eastAsia="黑体"/>
          <w:color w:val="auto"/>
          <w:kern w:val="44"/>
          <w:sz w:val="32"/>
          <w:szCs w:val="32"/>
          <w:highlight w:val="none"/>
          <w:lang w:val="en-US" w:eastAsia="zh-CN"/>
        </w:rPr>
        <w:t xml:space="preserve"> </w:t>
      </w:r>
      <w:r>
        <w:rPr>
          <w:rFonts w:hint="eastAsia" w:ascii="Cambria" w:hAnsi="Cambria" w:eastAsia="黑体"/>
          <w:color w:val="auto"/>
          <w:kern w:val="44"/>
          <w:sz w:val="32"/>
          <w:szCs w:val="32"/>
          <w:highlight w:val="none"/>
        </w:rPr>
        <w:t>解</w:t>
      </w:r>
      <w:r>
        <w:rPr>
          <w:rFonts w:hint="eastAsia" w:ascii="Cambria" w:hAnsi="Cambria" w:eastAsia="黑体"/>
          <w:color w:val="auto"/>
          <w:kern w:val="44"/>
          <w:sz w:val="32"/>
          <w:szCs w:val="32"/>
          <w:highlight w:val="none"/>
          <w:lang w:val="en-US" w:eastAsia="zh-CN"/>
        </w:rPr>
        <w:t xml:space="preserve"> </w:t>
      </w:r>
      <w:r>
        <w:rPr>
          <w:rFonts w:hint="eastAsia" w:ascii="Cambria" w:hAnsi="Cambria" w:eastAsia="黑体"/>
          <w:color w:val="auto"/>
          <w:kern w:val="44"/>
          <w:sz w:val="32"/>
          <w:szCs w:val="32"/>
          <w:highlight w:val="none"/>
        </w:rPr>
        <w:t>释</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1.</w:t>
      </w:r>
      <w:r>
        <w:rPr>
          <w:rStyle w:val="17"/>
          <w:rFonts w:hint="eastAsia" w:ascii="Times New Roman" w:hAnsi="Times New Roman" w:eastAsia="楷体_GB2312"/>
          <w:color w:val="auto"/>
          <w:sz w:val="28"/>
          <w:szCs w:val="28"/>
          <w:highlight w:val="none"/>
          <w:shd w:val="clear" w:color="auto" w:fill="FFFFFF"/>
          <w:lang w:eastAsia="zh-CN"/>
        </w:rPr>
        <w:t>1</w:t>
      </w:r>
      <w:r>
        <w:rPr>
          <w:rStyle w:val="17"/>
          <w:rFonts w:ascii="Times New Roman" w:hAnsi="Times New Roman" w:eastAsia="楷体_GB2312"/>
          <w:color w:val="auto"/>
          <w:sz w:val="28"/>
          <w:szCs w:val="28"/>
          <w:highlight w:val="none"/>
          <w:shd w:val="clear" w:color="auto" w:fill="FFFFFF"/>
        </w:rPr>
        <w:t>+</w:t>
      </w:r>
      <w:r>
        <w:rPr>
          <w:rStyle w:val="17"/>
          <w:rFonts w:hint="eastAsia" w:ascii="Times New Roman" w:hAnsi="Times New Roman" w:eastAsia="楷体_GB2312"/>
          <w:color w:val="auto"/>
          <w:sz w:val="28"/>
          <w:szCs w:val="28"/>
          <w:highlight w:val="none"/>
          <w:shd w:val="clear" w:color="auto" w:fill="FFFFFF"/>
          <w:lang w:eastAsia="zh-CN"/>
        </w:rPr>
        <w:t>1</w:t>
      </w:r>
      <w:r>
        <w:rPr>
          <w:rStyle w:val="17"/>
          <w:rFonts w:ascii="Times New Roman" w:hAnsi="Times New Roman" w:eastAsia="楷体_GB2312"/>
          <w:color w:val="auto"/>
          <w:sz w:val="28"/>
          <w:szCs w:val="28"/>
          <w:highlight w:val="none"/>
          <w:shd w:val="clear" w:color="auto" w:fill="FFFFFF"/>
        </w:rPr>
        <w:t>+</w:t>
      </w:r>
      <w:r>
        <w:rPr>
          <w:rStyle w:val="17"/>
          <w:rFonts w:hint="eastAsia" w:ascii="Times New Roman" w:hAnsi="Times New Roman" w:eastAsia="楷体_GB2312"/>
          <w:color w:val="auto"/>
          <w:sz w:val="28"/>
          <w:szCs w:val="28"/>
          <w:highlight w:val="none"/>
          <w:shd w:val="clear" w:color="auto" w:fill="FFFFFF"/>
          <w:lang w:eastAsia="zh-CN"/>
        </w:rPr>
        <w:t>9</w:t>
      </w:r>
      <w:r>
        <w:rPr>
          <w:rStyle w:val="17"/>
          <w:rFonts w:ascii="楷体_GB2312" w:hAnsi="微软雅黑" w:eastAsia="楷体_GB2312" w:cs="楷体_GB2312"/>
          <w:color w:val="auto"/>
          <w:sz w:val="28"/>
          <w:szCs w:val="28"/>
          <w:highlight w:val="none"/>
          <w:shd w:val="clear" w:color="auto" w:fill="FFFFFF"/>
        </w:rPr>
        <w:t>：</w:t>
      </w:r>
      <w:r>
        <w:rPr>
          <w:rFonts w:hint="eastAsia" w:ascii="仿宋" w:hAnsi="仿宋" w:eastAsia="仿宋" w:cs="仿宋"/>
          <w:color w:val="auto"/>
          <w:sz w:val="28"/>
          <w:szCs w:val="28"/>
          <w:highlight w:val="none"/>
          <w:shd w:val="clear" w:color="auto" w:fill="FFFFFF"/>
        </w:rPr>
        <w:t>扎实</w:t>
      </w:r>
      <w:r>
        <w:rPr>
          <w:rFonts w:ascii="仿宋" w:hAnsi="仿宋" w:eastAsia="仿宋" w:cs="仿宋"/>
          <w:color w:val="auto"/>
          <w:sz w:val="28"/>
          <w:szCs w:val="28"/>
          <w:highlight w:val="none"/>
          <w:shd w:val="clear" w:color="auto" w:fill="FFFFFF"/>
        </w:rPr>
        <w:t>推进党的建设新的伟大工程</w:t>
      </w:r>
      <w:r>
        <w:rPr>
          <w:rFonts w:hint="eastAsia" w:ascii="仿宋" w:hAnsi="仿宋" w:eastAsia="仿宋" w:cs="仿宋"/>
          <w:color w:val="auto"/>
          <w:sz w:val="28"/>
          <w:szCs w:val="28"/>
          <w:highlight w:val="none"/>
          <w:shd w:val="clear" w:color="auto" w:fill="FFFFFF"/>
        </w:rPr>
        <w:t>，扎实推进</w:t>
      </w:r>
      <w:r>
        <w:rPr>
          <w:rFonts w:ascii="仿宋" w:hAnsi="仿宋" w:eastAsia="仿宋" w:cs="仿宋"/>
          <w:color w:val="auto"/>
          <w:sz w:val="28"/>
          <w:szCs w:val="28"/>
          <w:highlight w:val="none"/>
          <w:shd w:val="clear" w:color="auto" w:fill="FFFFFF"/>
        </w:rPr>
        <w:t>全面深化改革开放</w:t>
      </w:r>
      <w:r>
        <w:rPr>
          <w:rFonts w:hint="eastAsia" w:ascii="仿宋" w:hAnsi="仿宋" w:eastAsia="仿宋" w:cs="仿宋"/>
          <w:color w:val="auto"/>
          <w:sz w:val="28"/>
          <w:szCs w:val="28"/>
          <w:highlight w:val="none"/>
          <w:shd w:val="clear" w:color="auto" w:fill="FFFFFF"/>
        </w:rPr>
        <w:t>，扎实抓好</w:t>
      </w:r>
      <w:r>
        <w:rPr>
          <w:rFonts w:ascii="仿宋" w:hAnsi="仿宋" w:eastAsia="仿宋" w:cs="仿宋"/>
          <w:color w:val="auto"/>
          <w:sz w:val="28"/>
          <w:szCs w:val="28"/>
          <w:highlight w:val="none"/>
          <w:shd w:val="clear" w:color="auto" w:fill="FFFFFF"/>
        </w:rPr>
        <w:t>粤港澳大湾区建设</w:t>
      </w:r>
      <w:r>
        <w:rPr>
          <w:rFonts w:hint="eastAsia" w:ascii="仿宋" w:hAnsi="仿宋" w:eastAsia="仿宋" w:cs="仿宋"/>
          <w:color w:val="auto"/>
          <w:sz w:val="28"/>
          <w:szCs w:val="28"/>
          <w:highlight w:val="none"/>
          <w:shd w:val="clear" w:color="auto" w:fill="FFFFFF"/>
        </w:rPr>
        <w:t>、</w:t>
      </w:r>
      <w:r>
        <w:rPr>
          <w:rFonts w:ascii="仿宋" w:hAnsi="仿宋" w:eastAsia="仿宋" w:cs="仿宋"/>
          <w:color w:val="auto"/>
          <w:sz w:val="28"/>
          <w:szCs w:val="28"/>
          <w:highlight w:val="none"/>
          <w:shd w:val="clear" w:color="auto" w:fill="FFFFFF"/>
        </w:rPr>
        <w:t>建设科技创新强省</w:t>
      </w:r>
      <w:r>
        <w:rPr>
          <w:rFonts w:hint="eastAsia" w:ascii="仿宋" w:hAnsi="仿宋" w:eastAsia="仿宋" w:cs="仿宋"/>
          <w:color w:val="auto"/>
          <w:sz w:val="28"/>
          <w:szCs w:val="28"/>
          <w:highlight w:val="none"/>
          <w:shd w:val="clear" w:color="auto" w:fill="FFFFFF"/>
        </w:rPr>
        <w:t>、推进</w:t>
      </w:r>
      <w:r>
        <w:rPr>
          <w:rFonts w:ascii="仿宋" w:hAnsi="仿宋" w:eastAsia="仿宋" w:cs="仿宋"/>
          <w:color w:val="auto"/>
          <w:sz w:val="28"/>
          <w:szCs w:val="28"/>
          <w:highlight w:val="none"/>
          <w:shd w:val="clear" w:color="auto" w:fill="FFFFFF"/>
        </w:rPr>
        <w:t>经济高质量发展</w:t>
      </w:r>
      <w:r>
        <w:rPr>
          <w:rFonts w:hint="eastAsia" w:ascii="仿宋" w:hAnsi="仿宋" w:eastAsia="仿宋" w:cs="仿宋"/>
          <w:color w:val="auto"/>
          <w:sz w:val="28"/>
          <w:szCs w:val="28"/>
          <w:highlight w:val="none"/>
          <w:shd w:val="clear" w:color="auto" w:fill="FFFFFF"/>
        </w:rPr>
        <w:t>、</w:t>
      </w:r>
      <w:r>
        <w:rPr>
          <w:rFonts w:ascii="仿宋" w:hAnsi="仿宋" w:eastAsia="仿宋" w:cs="仿宋"/>
          <w:color w:val="auto"/>
          <w:sz w:val="28"/>
          <w:szCs w:val="28"/>
          <w:highlight w:val="none"/>
          <w:shd w:val="clear" w:color="auto" w:fill="FFFFFF"/>
        </w:rPr>
        <w:t>建设现代化经济体系</w:t>
      </w:r>
      <w:r>
        <w:rPr>
          <w:rFonts w:hint="eastAsia" w:ascii="仿宋" w:hAnsi="仿宋" w:eastAsia="仿宋" w:cs="仿宋"/>
          <w:color w:val="auto"/>
          <w:sz w:val="28"/>
          <w:szCs w:val="28"/>
          <w:highlight w:val="none"/>
          <w:shd w:val="clear" w:color="auto" w:fill="FFFFFF"/>
        </w:rPr>
        <w:t>、打好“三大攻坚战”、</w:t>
      </w:r>
      <w:r>
        <w:rPr>
          <w:rFonts w:ascii="仿宋" w:hAnsi="仿宋" w:eastAsia="仿宋" w:cs="仿宋"/>
          <w:color w:val="auto"/>
          <w:sz w:val="28"/>
          <w:szCs w:val="28"/>
          <w:highlight w:val="none"/>
          <w:shd w:val="clear" w:color="auto" w:fill="FFFFFF"/>
        </w:rPr>
        <w:t>实施乡村振兴战略</w:t>
      </w:r>
      <w:r>
        <w:rPr>
          <w:rFonts w:hint="eastAsia" w:ascii="仿宋" w:hAnsi="仿宋" w:eastAsia="仿宋" w:cs="仿宋"/>
          <w:color w:val="auto"/>
          <w:sz w:val="28"/>
          <w:szCs w:val="28"/>
          <w:highlight w:val="none"/>
          <w:shd w:val="clear" w:color="auto" w:fill="FFFFFF"/>
        </w:rPr>
        <w:t>、</w:t>
      </w:r>
      <w:r>
        <w:rPr>
          <w:rFonts w:ascii="仿宋" w:hAnsi="仿宋" w:eastAsia="仿宋" w:cs="仿宋"/>
          <w:color w:val="auto"/>
          <w:sz w:val="28"/>
          <w:szCs w:val="28"/>
          <w:highlight w:val="none"/>
          <w:shd w:val="clear" w:color="auto" w:fill="FFFFFF"/>
        </w:rPr>
        <w:t>构建</w:t>
      </w:r>
      <w:r>
        <w:rPr>
          <w:rFonts w:hint="eastAsia" w:ascii="仿宋" w:hAnsi="仿宋" w:eastAsia="仿宋" w:cs="仿宋"/>
          <w:color w:val="auto"/>
          <w:sz w:val="28"/>
          <w:szCs w:val="28"/>
          <w:highlight w:val="none"/>
          <w:shd w:val="clear" w:color="auto" w:fill="FFFFFF"/>
        </w:rPr>
        <w:t>“一核一带一区”区</w:t>
      </w:r>
      <w:r>
        <w:rPr>
          <w:rFonts w:ascii="仿宋" w:hAnsi="仿宋" w:eastAsia="仿宋" w:cs="仿宋"/>
          <w:color w:val="auto"/>
          <w:sz w:val="28"/>
          <w:szCs w:val="28"/>
          <w:highlight w:val="none"/>
          <w:shd w:val="clear" w:color="auto" w:fill="FFFFFF"/>
        </w:rPr>
        <w:t>域发展格局</w:t>
      </w:r>
      <w:r>
        <w:rPr>
          <w:rFonts w:hint="eastAsia" w:ascii="仿宋" w:hAnsi="仿宋" w:eastAsia="仿宋" w:cs="仿宋"/>
          <w:color w:val="auto"/>
          <w:sz w:val="28"/>
          <w:szCs w:val="28"/>
          <w:highlight w:val="none"/>
          <w:shd w:val="clear" w:color="auto" w:fill="FFFFFF"/>
        </w:rPr>
        <w:t>、加快</w:t>
      </w:r>
      <w:r>
        <w:rPr>
          <w:rFonts w:ascii="仿宋" w:hAnsi="仿宋" w:eastAsia="仿宋" w:cs="仿宋"/>
          <w:color w:val="auto"/>
          <w:sz w:val="28"/>
          <w:szCs w:val="28"/>
          <w:highlight w:val="none"/>
          <w:shd w:val="clear" w:color="auto" w:fill="FFFFFF"/>
        </w:rPr>
        <w:t>文化强省建设</w:t>
      </w:r>
      <w:r>
        <w:rPr>
          <w:rFonts w:hint="eastAsia" w:ascii="仿宋" w:hAnsi="仿宋" w:eastAsia="仿宋" w:cs="仿宋"/>
          <w:color w:val="auto"/>
          <w:sz w:val="28"/>
          <w:szCs w:val="28"/>
          <w:highlight w:val="none"/>
          <w:shd w:val="clear" w:color="auto" w:fill="FFFFFF"/>
        </w:rPr>
        <w:t>、</w:t>
      </w:r>
      <w:r>
        <w:rPr>
          <w:rFonts w:ascii="仿宋" w:hAnsi="仿宋" w:eastAsia="仿宋" w:cs="仿宋"/>
          <w:color w:val="auto"/>
          <w:sz w:val="28"/>
          <w:szCs w:val="28"/>
          <w:highlight w:val="none"/>
          <w:shd w:val="clear" w:color="auto" w:fill="FFFFFF"/>
        </w:rPr>
        <w:t>营造共建共治共享社会治理格局。</w:t>
      </w:r>
    </w:p>
    <w:p>
      <w:pPr>
        <w:pStyle w:val="13"/>
        <w:widowControl/>
        <w:shd w:val="clear" w:color="auto" w:fill="auto"/>
        <w:spacing w:before="0" w:beforeAutospacing="0" w:after="0" w:afterAutospacing="0" w:line="375" w:lineRule="atLeast"/>
        <w:ind w:firstLine="555"/>
        <w:rPr>
          <w:rFonts w:ascii="微软雅黑" w:hAnsi="微软雅黑" w:eastAsia="微软雅黑" w:cs="微软雅黑"/>
          <w:color w:val="auto"/>
          <w:highlight w:val="none"/>
        </w:rPr>
      </w:pPr>
      <w:r>
        <w:rPr>
          <w:rStyle w:val="17"/>
          <w:rFonts w:hint="eastAsia" w:ascii="Times New Roman" w:hAnsi="Times New Roman" w:eastAsia="楷体_GB2312" w:cs="楷体_GB2312"/>
          <w:color w:val="auto"/>
          <w:sz w:val="28"/>
          <w:szCs w:val="28"/>
          <w:highlight w:val="none"/>
          <w:shd w:val="clear" w:color="auto" w:fill="FFFFFF"/>
          <w:lang w:eastAsia="zh-CN"/>
        </w:rPr>
        <w:t>2.</w:t>
      </w:r>
      <w:r>
        <w:rPr>
          <w:rStyle w:val="17"/>
          <w:rFonts w:ascii="楷体_GB2312" w:hAnsi="微软雅黑" w:eastAsia="楷体_GB2312" w:cs="楷体_GB2312"/>
          <w:color w:val="auto"/>
          <w:sz w:val="28"/>
          <w:szCs w:val="28"/>
          <w:highlight w:val="none"/>
          <w:shd w:val="clear" w:color="auto" w:fill="FFFFFF"/>
        </w:rPr>
        <w:t>三个一：</w:t>
      </w:r>
      <w:r>
        <w:rPr>
          <w:rFonts w:hint="eastAsia" w:ascii="仿宋" w:hAnsi="仿宋" w:eastAsia="仿宋" w:cs="仿宋"/>
          <w:color w:val="auto"/>
          <w:sz w:val="28"/>
          <w:szCs w:val="28"/>
          <w:highlight w:val="none"/>
          <w:shd w:val="clear" w:color="auto" w:fill="FFFFFF"/>
        </w:rPr>
        <w:t>“一通道”，即参与共建西部陆海新通道；“一港区”，即推动霞山区块、东海道区块、徐闻区块纳入广东自贸区扩区的片区；“一示范”，即建设国家海洋经济发展示范区。</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3.</w:t>
      </w:r>
      <w:r>
        <w:rPr>
          <w:rStyle w:val="17"/>
          <w:rFonts w:ascii="楷体_GB2312" w:hAnsi="微软雅黑" w:eastAsia="楷体_GB2312" w:cs="楷体_GB2312"/>
          <w:color w:val="auto"/>
          <w:sz w:val="28"/>
          <w:szCs w:val="28"/>
          <w:highlight w:val="none"/>
          <w:shd w:val="clear" w:color="auto" w:fill="FFFFFF"/>
        </w:rPr>
        <w:t>四篇文章</w:t>
      </w:r>
      <w:r>
        <w:rPr>
          <w:rFonts w:hint="eastAsia" w:ascii="仿宋" w:hAnsi="仿宋" w:eastAsia="仿宋" w:cs="仿宋"/>
          <w:color w:val="auto"/>
          <w:sz w:val="28"/>
          <w:szCs w:val="28"/>
          <w:highlight w:val="none"/>
          <w:shd w:val="clear" w:color="auto" w:fill="FFFFFF"/>
        </w:rPr>
        <w:t>：临港产业、滨海旅游业、特色优势农业、军民融合发展。</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4.</w:t>
      </w:r>
      <w:r>
        <w:rPr>
          <w:rStyle w:val="17"/>
          <w:rFonts w:ascii="楷体_GB2312" w:hAnsi="微软雅黑" w:eastAsia="楷体_GB2312" w:cs="楷体_GB2312"/>
          <w:color w:val="auto"/>
          <w:sz w:val="28"/>
          <w:szCs w:val="28"/>
          <w:highlight w:val="none"/>
          <w:shd w:val="clear" w:color="auto" w:fill="FFFFFF"/>
        </w:rPr>
        <w:t>四大抓手：</w:t>
      </w:r>
      <w:r>
        <w:rPr>
          <w:rFonts w:hint="eastAsia" w:ascii="仿宋" w:hAnsi="仿宋" w:eastAsia="仿宋" w:cs="仿宋"/>
          <w:color w:val="auto"/>
          <w:sz w:val="28"/>
          <w:szCs w:val="28"/>
          <w:highlight w:val="none"/>
          <w:shd w:val="clear" w:color="auto" w:fill="FFFFFF"/>
        </w:rPr>
        <w:t>交通基础设施建设、产业园区扩能增效、城市强芯提质、乡村振兴发展。</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5.</w:t>
      </w:r>
      <w:r>
        <w:rPr>
          <w:rStyle w:val="17"/>
          <w:rFonts w:ascii="楷体_GB2312" w:hAnsi="微软雅黑" w:eastAsia="楷体_GB2312" w:cs="楷体_GB2312"/>
          <w:color w:val="auto"/>
          <w:sz w:val="28"/>
          <w:szCs w:val="28"/>
          <w:highlight w:val="none"/>
          <w:shd w:val="clear" w:color="auto" w:fill="FFFFFF"/>
        </w:rPr>
        <w:t>五大产业发展计划：</w:t>
      </w:r>
      <w:r>
        <w:rPr>
          <w:rFonts w:hint="eastAsia" w:ascii="仿宋" w:hAnsi="仿宋" w:eastAsia="仿宋" w:cs="仿宋"/>
          <w:color w:val="auto"/>
          <w:sz w:val="28"/>
          <w:szCs w:val="28"/>
          <w:highlight w:val="none"/>
          <w:shd w:val="clear" w:color="auto" w:fill="FFFFFF"/>
        </w:rPr>
        <w:t>重大工业产业项目达产增效计划、传统产业转型升级计划、现代服务业提速计划、高新技术产业培育计划、蓝色海洋综合开发计划。</w:t>
      </w:r>
    </w:p>
    <w:p>
      <w:pPr>
        <w:pStyle w:val="13"/>
        <w:widowControl/>
        <w:shd w:val="clear" w:color="auto" w:fill="auto"/>
        <w:spacing w:before="0" w:beforeAutospacing="0" w:after="0" w:afterAutospacing="0" w:line="375" w:lineRule="atLeast"/>
        <w:ind w:firstLine="555"/>
        <w:rPr>
          <w:rStyle w:val="17"/>
          <w:rFonts w:hint="eastAsia" w:ascii="仿宋" w:hAnsi="仿宋" w:eastAsia="仿宋" w:cs="仿宋"/>
          <w:b w:val="0"/>
          <w:bCs/>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6.</w:t>
      </w:r>
      <w:r>
        <w:rPr>
          <w:rStyle w:val="17"/>
          <w:rFonts w:hint="eastAsia" w:ascii="楷体_GB2312" w:hAnsi="微软雅黑" w:eastAsia="楷体_GB2312" w:cs="楷体_GB2312"/>
          <w:color w:val="auto"/>
          <w:sz w:val="28"/>
          <w:szCs w:val="28"/>
          <w:highlight w:val="none"/>
          <w:shd w:val="clear" w:color="auto" w:fill="FFFFFF"/>
        </w:rPr>
        <w:t>三清三拆三整治：</w:t>
      </w:r>
      <w:r>
        <w:rPr>
          <w:rStyle w:val="17"/>
          <w:rFonts w:hint="eastAsia" w:ascii="仿宋" w:hAnsi="仿宋" w:eastAsia="仿宋" w:cs="仿宋"/>
          <w:b w:val="0"/>
          <w:bCs/>
          <w:color w:val="auto"/>
          <w:sz w:val="28"/>
          <w:szCs w:val="28"/>
          <w:highlight w:val="none"/>
          <w:shd w:val="clear" w:color="auto" w:fill="FFFFFF"/>
        </w:rPr>
        <w:t>“三清”即清理村巷道及生产工具、建筑材料乱堆乱放，清理房前屋后和村巷道杂草杂物、积存垃圾，清理沟渠池塘溪河淤泥、漂浮物和障碍物；“三拆”即拆除旧房危房、废弃猪牛栏及露天厕所茅房，拆除乱搭乱建、违章建筑，拆除非法违规广告、招牌等；“三整治”主要是整治垃圾、生活污水及水体污染。</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7.</w:t>
      </w:r>
      <w:r>
        <w:rPr>
          <w:rStyle w:val="17"/>
          <w:rFonts w:ascii="楷体_GB2312" w:hAnsi="微软雅黑" w:eastAsia="楷体_GB2312" w:cs="楷体_GB2312"/>
          <w:color w:val="auto"/>
          <w:sz w:val="28"/>
          <w:szCs w:val="28"/>
          <w:highlight w:val="none"/>
          <w:shd w:val="clear" w:color="auto" w:fill="FFFFFF"/>
        </w:rPr>
        <w:t>双区：</w:t>
      </w:r>
      <w:r>
        <w:rPr>
          <w:rFonts w:hint="eastAsia" w:ascii="仿宋" w:hAnsi="仿宋" w:eastAsia="仿宋" w:cs="仿宋"/>
          <w:color w:val="auto"/>
          <w:sz w:val="28"/>
          <w:szCs w:val="28"/>
          <w:highlight w:val="none"/>
          <w:shd w:val="clear" w:color="auto" w:fill="FFFFFF"/>
        </w:rPr>
        <w:t>即粤港澳大湾区、深圳中国特色社会主义先行示范区。</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8.</w:t>
      </w:r>
      <w:r>
        <w:rPr>
          <w:rStyle w:val="17"/>
          <w:rFonts w:hint="eastAsia" w:ascii="楷体_GB2312" w:hAnsi="微软雅黑" w:eastAsia="楷体_GB2312" w:cs="楷体_GB2312"/>
          <w:color w:val="auto"/>
          <w:sz w:val="28"/>
          <w:szCs w:val="28"/>
          <w:highlight w:val="none"/>
          <w:shd w:val="clear" w:color="auto" w:fill="FFFFFF"/>
        </w:rPr>
        <w:t>核+副中心：</w:t>
      </w:r>
      <w:r>
        <w:rPr>
          <w:rFonts w:hint="eastAsia" w:ascii="仿宋" w:hAnsi="仿宋" w:eastAsia="仿宋" w:cs="仿宋"/>
          <w:color w:val="auto"/>
          <w:sz w:val="28"/>
          <w:szCs w:val="28"/>
          <w:highlight w:val="none"/>
          <w:shd w:val="clear" w:color="auto" w:fill="FFFFFF"/>
        </w:rPr>
        <w:t>推动广州与湛江、深圳与汕头深度协作，形成“双核+双副中心”动力机制。</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9.</w:t>
      </w:r>
      <w:r>
        <w:rPr>
          <w:rStyle w:val="17"/>
          <w:rFonts w:ascii="楷体_GB2312" w:hAnsi="微软雅黑" w:eastAsia="楷体_GB2312" w:cs="楷体_GB2312"/>
          <w:color w:val="auto"/>
          <w:sz w:val="28"/>
          <w:szCs w:val="28"/>
          <w:highlight w:val="none"/>
          <w:shd w:val="clear" w:color="auto" w:fill="FFFFFF"/>
        </w:rPr>
        <w:t>僵尸企业：</w:t>
      </w:r>
      <w:r>
        <w:rPr>
          <w:rFonts w:hint="eastAsia" w:ascii="仿宋" w:hAnsi="仿宋" w:eastAsia="仿宋" w:cs="仿宋"/>
          <w:color w:val="auto"/>
          <w:sz w:val="28"/>
          <w:szCs w:val="28"/>
          <w:highlight w:val="none"/>
          <w:shd w:val="clear" w:color="auto" w:fill="FFFFFF"/>
        </w:rPr>
        <w:t>指丧失自我发展能力，必须依赖非市场因素即政府补贴或银行续贷来维持生存的企业。</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1</w:t>
      </w:r>
      <w:r>
        <w:rPr>
          <w:rStyle w:val="17"/>
          <w:rFonts w:hint="eastAsia" w:ascii="Times New Roman" w:hAnsi="Times New Roman" w:eastAsia="楷体_GB2312" w:cs="楷体_GB2312"/>
          <w:color w:val="auto"/>
          <w:sz w:val="28"/>
          <w:szCs w:val="28"/>
          <w:highlight w:val="none"/>
          <w:shd w:val="clear" w:color="auto" w:fill="FFFFFF"/>
          <w:lang w:val="en-US" w:eastAsia="zh-CN"/>
        </w:rPr>
        <w:t>0.</w:t>
      </w:r>
      <w:r>
        <w:rPr>
          <w:rStyle w:val="17"/>
          <w:rFonts w:hint="eastAsia" w:ascii="楷体_GB2312" w:hAnsi="微软雅黑" w:eastAsia="楷体_GB2312" w:cs="楷体_GB2312"/>
          <w:color w:val="auto"/>
          <w:sz w:val="28"/>
          <w:szCs w:val="28"/>
          <w:highlight w:val="none"/>
          <w:shd w:val="clear" w:color="auto" w:fill="FFFFFF"/>
        </w:rPr>
        <w:t>双随机、一公开：</w:t>
      </w:r>
      <w:r>
        <w:rPr>
          <w:rFonts w:hint="eastAsia" w:ascii="仿宋" w:hAnsi="仿宋" w:eastAsia="仿宋" w:cs="仿宋"/>
          <w:color w:val="auto"/>
          <w:sz w:val="28"/>
          <w:szCs w:val="28"/>
          <w:highlight w:val="none"/>
          <w:shd w:val="clear" w:color="auto" w:fill="FFFFFF"/>
        </w:rPr>
        <w:t>在监管过程中随机抽取检查对象，随机选派执法检查人员，抽查情况及查处结果及时向社会公开。</w:t>
      </w:r>
    </w:p>
    <w:p>
      <w:pPr>
        <w:pStyle w:val="13"/>
        <w:widowControl/>
        <w:shd w:val="clear" w:color="auto" w:fill="auto"/>
        <w:spacing w:before="0" w:beforeAutospacing="0" w:after="0" w:afterAutospacing="0" w:line="375" w:lineRule="atLeast"/>
        <w:ind w:firstLine="555"/>
        <w:rPr>
          <w:rFonts w:hint="eastAsia" w:ascii="仿宋_GB2312" w:hAnsi="微软雅黑" w:eastAsia="仿宋_GB2312" w:cs="仿宋_GB2312"/>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1</w:t>
      </w:r>
      <w:r>
        <w:rPr>
          <w:rStyle w:val="17"/>
          <w:rFonts w:hint="eastAsia" w:ascii="Times New Roman" w:hAnsi="Times New Roman" w:eastAsia="楷体_GB2312" w:cs="楷体_GB2312"/>
          <w:color w:val="auto"/>
          <w:sz w:val="28"/>
          <w:szCs w:val="28"/>
          <w:highlight w:val="none"/>
          <w:shd w:val="clear" w:color="auto" w:fill="FFFFFF"/>
          <w:lang w:val="en-US" w:eastAsia="zh-CN"/>
        </w:rPr>
        <w:t>1.</w:t>
      </w:r>
      <w:r>
        <w:rPr>
          <w:rStyle w:val="17"/>
          <w:rFonts w:ascii="楷体_GB2312" w:hAnsi="微软雅黑" w:eastAsia="楷体_GB2312" w:cs="楷体_GB2312"/>
          <w:color w:val="auto"/>
          <w:sz w:val="28"/>
          <w:szCs w:val="28"/>
          <w:highlight w:val="none"/>
          <w:shd w:val="clear" w:color="auto" w:fill="FFFFFF"/>
        </w:rPr>
        <w:t>四好农村路：</w:t>
      </w:r>
      <w:r>
        <w:rPr>
          <w:rFonts w:hint="eastAsia" w:ascii="仿宋" w:hAnsi="仿宋" w:eastAsia="仿宋" w:cs="仿宋"/>
          <w:color w:val="auto"/>
          <w:sz w:val="28"/>
          <w:szCs w:val="28"/>
          <w:highlight w:val="none"/>
          <w:shd w:val="clear" w:color="auto" w:fill="FFFFFF"/>
        </w:rPr>
        <w:t>建好、管好、护好、运营好农村公路。</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 w:cs="楷体"/>
          <w:color w:val="auto"/>
          <w:sz w:val="28"/>
          <w:szCs w:val="28"/>
          <w:highlight w:val="none"/>
          <w:shd w:val="clear" w:color="auto" w:fill="FFFFFF"/>
          <w:lang w:eastAsia="zh-CN"/>
        </w:rPr>
        <w:t>1</w:t>
      </w:r>
      <w:r>
        <w:rPr>
          <w:rStyle w:val="17"/>
          <w:rFonts w:hint="eastAsia" w:ascii="Times New Roman" w:hAnsi="Times New Roman" w:eastAsia="楷体" w:cs="楷体"/>
          <w:color w:val="auto"/>
          <w:sz w:val="28"/>
          <w:szCs w:val="28"/>
          <w:highlight w:val="none"/>
          <w:shd w:val="clear" w:color="auto" w:fill="FFFFFF"/>
          <w:lang w:val="en-US" w:eastAsia="zh-CN"/>
        </w:rPr>
        <w:t>2</w:t>
      </w:r>
      <w:r>
        <w:rPr>
          <w:rStyle w:val="17"/>
          <w:rFonts w:hint="eastAsia" w:ascii="楷体" w:hAnsi="楷体" w:eastAsia="楷体" w:cs="楷体"/>
          <w:color w:val="auto"/>
          <w:sz w:val="28"/>
          <w:szCs w:val="28"/>
          <w:highlight w:val="none"/>
          <w:shd w:val="clear" w:color="auto" w:fill="FFFFFF"/>
        </w:rPr>
        <w:t>“小巨人”</w:t>
      </w:r>
      <w:r>
        <w:rPr>
          <w:rStyle w:val="17"/>
          <w:rFonts w:ascii="楷体_GB2312" w:hAnsi="微软雅黑" w:eastAsia="楷体_GB2312" w:cs="楷体_GB2312"/>
          <w:color w:val="auto"/>
          <w:sz w:val="28"/>
          <w:szCs w:val="28"/>
          <w:highlight w:val="none"/>
          <w:shd w:val="clear" w:color="auto" w:fill="FFFFFF"/>
        </w:rPr>
        <w:t>企业：</w:t>
      </w:r>
      <w:r>
        <w:rPr>
          <w:rFonts w:hint="eastAsia" w:ascii="仿宋" w:hAnsi="仿宋" w:eastAsia="仿宋" w:cs="仿宋"/>
          <w:color w:val="auto"/>
          <w:sz w:val="28"/>
          <w:szCs w:val="28"/>
          <w:highlight w:val="none"/>
          <w:shd w:val="clear" w:color="auto" w:fill="FFFFFF"/>
        </w:rPr>
        <w:t>指“专精特新”中小企业中的佼佼者，是专注于细分市场、创新能力强、市场占有率高、掌握关键核心技术、质量效益优的排头兵企业。</w:t>
      </w:r>
    </w:p>
    <w:p>
      <w:pPr>
        <w:pStyle w:val="13"/>
        <w:widowControl/>
        <w:shd w:val="clear" w:color="auto" w:fill="auto"/>
        <w:spacing w:before="0" w:beforeAutospacing="0" w:after="0" w:afterAutospacing="0" w:line="360"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1</w:t>
      </w:r>
      <w:r>
        <w:rPr>
          <w:rStyle w:val="17"/>
          <w:rFonts w:hint="eastAsia" w:ascii="Times New Roman" w:hAnsi="Times New Roman" w:eastAsia="楷体_GB2312" w:cs="楷体_GB2312"/>
          <w:color w:val="auto"/>
          <w:sz w:val="28"/>
          <w:szCs w:val="28"/>
          <w:highlight w:val="none"/>
          <w:shd w:val="clear" w:color="auto" w:fill="FFFFFF"/>
          <w:lang w:val="en-US" w:eastAsia="zh-CN"/>
        </w:rPr>
        <w:t>3.</w:t>
      </w:r>
      <w:r>
        <w:rPr>
          <w:rStyle w:val="17"/>
          <w:rFonts w:hint="eastAsia" w:ascii="楷体_GB2312" w:hAnsi="微软雅黑" w:eastAsia="楷体_GB2312" w:cs="楷体_GB2312"/>
          <w:color w:val="auto"/>
          <w:sz w:val="28"/>
          <w:szCs w:val="28"/>
          <w:highlight w:val="none"/>
          <w:shd w:val="clear" w:color="auto" w:fill="FFFFFF"/>
        </w:rPr>
        <w:t>个转企：</w:t>
      </w:r>
      <w:r>
        <w:rPr>
          <w:rFonts w:hint="eastAsia" w:ascii="仿宋" w:hAnsi="仿宋" w:eastAsia="仿宋" w:cs="仿宋"/>
          <w:color w:val="auto"/>
          <w:sz w:val="28"/>
          <w:szCs w:val="28"/>
          <w:highlight w:val="none"/>
          <w:shd w:val="clear" w:color="auto" w:fill="FFFFFF"/>
        </w:rPr>
        <w:t>个体工商户转为企业。</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1</w:t>
      </w:r>
      <w:r>
        <w:rPr>
          <w:rStyle w:val="17"/>
          <w:rFonts w:hint="eastAsia" w:ascii="Times New Roman" w:hAnsi="Times New Roman" w:eastAsia="楷体_GB2312" w:cs="楷体_GB2312"/>
          <w:color w:val="auto"/>
          <w:sz w:val="28"/>
          <w:szCs w:val="28"/>
          <w:highlight w:val="none"/>
          <w:shd w:val="clear" w:color="auto" w:fill="FFFFFF"/>
          <w:lang w:val="en-US" w:eastAsia="zh-CN"/>
        </w:rPr>
        <w:t>4.</w:t>
      </w:r>
      <w:r>
        <w:rPr>
          <w:rStyle w:val="17"/>
          <w:rFonts w:ascii="楷体_GB2312" w:hAnsi="微软雅黑" w:eastAsia="楷体_GB2312" w:cs="楷体_GB2312"/>
          <w:color w:val="auto"/>
          <w:sz w:val="28"/>
          <w:szCs w:val="28"/>
          <w:highlight w:val="none"/>
          <w:shd w:val="clear" w:color="auto" w:fill="FFFFFF"/>
        </w:rPr>
        <w:t>小升规：</w:t>
      </w:r>
      <w:r>
        <w:rPr>
          <w:rFonts w:hint="eastAsia" w:ascii="仿宋" w:hAnsi="仿宋" w:eastAsia="仿宋" w:cs="仿宋"/>
          <w:color w:val="auto"/>
          <w:sz w:val="28"/>
          <w:szCs w:val="28"/>
          <w:highlight w:val="none"/>
          <w:shd w:val="clear" w:color="auto" w:fill="FFFFFF"/>
        </w:rPr>
        <w:t>小微企业规范升级为规模以上企业。</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15.</w:t>
      </w:r>
      <w:r>
        <w:rPr>
          <w:rStyle w:val="17"/>
          <w:rFonts w:hint="eastAsia" w:ascii="楷体_GB2312" w:hAnsi="微软雅黑" w:eastAsia="楷体_GB2312" w:cs="楷体_GB2312"/>
          <w:color w:val="auto"/>
          <w:sz w:val="28"/>
          <w:szCs w:val="28"/>
          <w:highlight w:val="none"/>
          <w:shd w:val="clear" w:color="auto" w:fill="FFFFFF"/>
        </w:rPr>
        <w:t>规上市：</w:t>
      </w:r>
      <w:r>
        <w:rPr>
          <w:rFonts w:hint="eastAsia" w:ascii="仿宋" w:hAnsi="仿宋" w:eastAsia="仿宋" w:cs="仿宋"/>
          <w:color w:val="auto"/>
          <w:sz w:val="28"/>
          <w:szCs w:val="28"/>
          <w:highlight w:val="none"/>
          <w:shd w:val="clear" w:color="auto" w:fill="FFFFFF"/>
        </w:rPr>
        <w:t>规上企业升级为上市企业。</w:t>
      </w:r>
    </w:p>
    <w:p>
      <w:pPr>
        <w:pStyle w:val="13"/>
        <w:widowControl/>
        <w:shd w:val="clear" w:color="auto" w:fill="auto"/>
        <w:spacing w:before="0" w:beforeAutospacing="0" w:after="0" w:afterAutospacing="0" w:line="360" w:lineRule="atLeast"/>
        <w:ind w:firstLine="555"/>
        <w:rPr>
          <w:rStyle w:val="17"/>
          <w:rFonts w:hint="eastAsia" w:ascii="仿宋" w:hAnsi="仿宋" w:eastAsia="仿宋" w:cs="仿宋"/>
          <w:b w:val="0"/>
          <w:bCs/>
          <w:color w:val="auto"/>
          <w:sz w:val="28"/>
          <w:szCs w:val="28"/>
          <w:highlight w:val="none"/>
          <w:shd w:val="clear" w:color="auto" w:fill="FFFFFF"/>
        </w:rPr>
      </w:pPr>
      <w:r>
        <w:rPr>
          <w:rStyle w:val="17"/>
          <w:rFonts w:hint="eastAsia" w:ascii="Times New Roman" w:hAnsi="Times New Roman" w:eastAsia="楷体" w:cs="楷体"/>
          <w:color w:val="auto"/>
          <w:sz w:val="28"/>
          <w:szCs w:val="28"/>
          <w:highlight w:val="none"/>
          <w:shd w:val="clear" w:color="auto" w:fill="FFFFFF"/>
          <w:lang w:val="en-US" w:eastAsia="zh-CN"/>
        </w:rPr>
        <w:t>16.</w:t>
      </w:r>
      <w:r>
        <w:rPr>
          <w:rStyle w:val="17"/>
          <w:rFonts w:ascii="楷体" w:hAnsi="楷体" w:eastAsia="楷体" w:cs="楷体"/>
          <w:color w:val="auto"/>
          <w:sz w:val="28"/>
          <w:szCs w:val="28"/>
          <w:highlight w:val="none"/>
          <w:shd w:val="clear" w:color="auto" w:fill="FFFFFF"/>
        </w:rPr>
        <w:t>一网通办</w:t>
      </w:r>
      <w:r>
        <w:rPr>
          <w:rStyle w:val="17"/>
          <w:rFonts w:hint="eastAsia" w:ascii="楷体_GB2312" w:hAnsi="微软雅黑" w:eastAsia="楷体_GB2312" w:cs="楷体_GB2312"/>
          <w:color w:val="auto"/>
          <w:sz w:val="28"/>
          <w:szCs w:val="28"/>
          <w:highlight w:val="none"/>
          <w:shd w:val="clear" w:color="auto" w:fill="FFFFFF"/>
        </w:rPr>
        <w:t>：</w:t>
      </w:r>
      <w:r>
        <w:rPr>
          <w:rStyle w:val="17"/>
          <w:rFonts w:hint="eastAsia" w:ascii="仿宋" w:hAnsi="仿宋" w:eastAsia="仿宋" w:cs="仿宋"/>
          <w:b w:val="0"/>
          <w:bCs/>
          <w:color w:val="auto"/>
          <w:sz w:val="28"/>
          <w:szCs w:val="28"/>
          <w:highlight w:val="none"/>
          <w:shd w:val="clear" w:color="auto" w:fill="FFFFFF"/>
        </w:rPr>
        <w:t>指依托一体化在线政务服务平台，通过规范网上办事标准、优化网上办事流程、搭建统一的互联网政务服务总门户、整合政府服务数据资源、完善配套制度等措施，推行政务服务事项网上办理，推动企业群众办事线上只登录一次即可全网通办。</w:t>
      </w:r>
    </w:p>
    <w:p>
      <w:pPr>
        <w:pStyle w:val="13"/>
        <w:widowControl/>
        <w:shd w:val="clear" w:color="auto" w:fill="auto"/>
        <w:spacing w:before="0" w:beforeAutospacing="0" w:after="0" w:afterAutospacing="0" w:line="360"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17.</w:t>
      </w:r>
      <w:r>
        <w:rPr>
          <w:rStyle w:val="17"/>
          <w:rFonts w:hint="eastAsia" w:ascii="楷体_GB2312" w:hAnsi="微软雅黑" w:eastAsia="楷体_GB2312" w:cs="楷体_GB2312"/>
          <w:color w:val="auto"/>
          <w:sz w:val="28"/>
          <w:szCs w:val="28"/>
          <w:highlight w:val="none"/>
          <w:shd w:val="clear" w:color="auto" w:fill="FFFFFF"/>
        </w:rPr>
        <w:t>减证便民：</w:t>
      </w:r>
      <w:r>
        <w:rPr>
          <w:rFonts w:hint="eastAsia" w:ascii="仿宋" w:hAnsi="仿宋" w:eastAsia="仿宋" w:cs="仿宋"/>
          <w:color w:val="auto"/>
          <w:sz w:val="28"/>
          <w:szCs w:val="28"/>
          <w:highlight w:val="none"/>
          <w:shd w:val="clear" w:color="auto" w:fill="FFFFFF"/>
        </w:rPr>
        <w:t>全面清理烦扰企业和群众的“奇葩”证明、循环证明、重复证明等各类无谓证明，大力减少盖章、审核、备案、确认、告知等各种繁琐环节和手续。</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18.</w:t>
      </w:r>
      <w:r>
        <w:rPr>
          <w:rStyle w:val="17"/>
          <w:rFonts w:ascii="楷体_GB2312" w:hAnsi="微软雅黑" w:eastAsia="楷体_GB2312" w:cs="楷体_GB2312"/>
          <w:color w:val="auto"/>
          <w:sz w:val="28"/>
          <w:szCs w:val="28"/>
          <w:highlight w:val="none"/>
          <w:shd w:val="clear" w:color="auto" w:fill="FFFFFF"/>
        </w:rPr>
        <w:t>多审合一：</w:t>
      </w:r>
      <w:r>
        <w:rPr>
          <w:rFonts w:hint="eastAsia" w:ascii="仿宋" w:hAnsi="仿宋" w:eastAsia="仿宋" w:cs="仿宋"/>
          <w:color w:val="auto"/>
          <w:sz w:val="28"/>
          <w:szCs w:val="28"/>
          <w:highlight w:val="none"/>
          <w:shd w:val="clear" w:color="auto" w:fill="FFFFFF"/>
        </w:rPr>
        <w:t>将建设项目选址意见书、建设项目用地预审意见合并，自然资源主管部门统一核发建设项目用地预审与选址意见书，不再单独核发建设项目选址意见书、建设项目用地预审意见。</w:t>
      </w:r>
    </w:p>
    <w:p>
      <w:pPr>
        <w:pStyle w:val="13"/>
        <w:widowControl/>
        <w:shd w:val="clear" w:color="auto" w:fill="auto"/>
        <w:spacing w:before="0" w:beforeAutospacing="0" w:after="0" w:afterAutospacing="0" w:line="360"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val="en-US" w:eastAsia="zh-CN"/>
        </w:rPr>
        <w:t>19.</w:t>
      </w:r>
      <w:r>
        <w:rPr>
          <w:rStyle w:val="17"/>
          <w:rFonts w:ascii="楷体_GB2312" w:hAnsi="微软雅黑" w:eastAsia="楷体_GB2312" w:cs="楷体_GB2312"/>
          <w:color w:val="auto"/>
          <w:sz w:val="28"/>
          <w:szCs w:val="28"/>
          <w:highlight w:val="none"/>
          <w:shd w:val="clear" w:color="auto" w:fill="FFFFFF"/>
        </w:rPr>
        <w:t>多证合一：</w:t>
      </w:r>
      <w:r>
        <w:rPr>
          <w:rFonts w:hint="eastAsia" w:ascii="仿宋" w:hAnsi="仿宋" w:eastAsia="仿宋" w:cs="仿宋"/>
          <w:color w:val="auto"/>
          <w:sz w:val="28"/>
          <w:szCs w:val="28"/>
          <w:highlight w:val="none"/>
          <w:shd w:val="clear" w:color="auto" w:fill="FFFFFF"/>
        </w:rPr>
        <w:t>将建设用地规划许可证、建设用地批准书合并，自然资源主管部门统一核发新的建设用地规划许可证，不再单独核发建设用地批准书。</w:t>
      </w:r>
    </w:p>
    <w:p>
      <w:pPr>
        <w:pStyle w:val="13"/>
        <w:widowControl/>
        <w:shd w:val="clear" w:color="auto" w:fill="auto"/>
        <w:spacing w:before="0" w:beforeAutospacing="0" w:after="0" w:afterAutospacing="0" w:line="375" w:lineRule="atLeast"/>
        <w:ind w:firstLine="555"/>
        <w:rPr>
          <w:rFonts w:hint="eastAsia" w:ascii="仿宋" w:hAnsi="仿宋" w:eastAsia="仿宋" w:cs="仿宋"/>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2</w:t>
      </w:r>
      <w:r>
        <w:rPr>
          <w:rStyle w:val="17"/>
          <w:rFonts w:hint="eastAsia" w:ascii="Times New Roman" w:hAnsi="Times New Roman" w:eastAsia="楷体_GB2312" w:cs="楷体_GB2312"/>
          <w:color w:val="auto"/>
          <w:sz w:val="28"/>
          <w:szCs w:val="28"/>
          <w:highlight w:val="none"/>
          <w:shd w:val="clear" w:color="auto" w:fill="FFFFFF"/>
          <w:lang w:val="en-US" w:eastAsia="zh-CN"/>
        </w:rPr>
        <w:t>0.</w:t>
      </w:r>
      <w:r>
        <w:rPr>
          <w:rStyle w:val="17"/>
          <w:rFonts w:hint="eastAsia" w:ascii="楷体_GB2312" w:hAnsi="微软雅黑" w:eastAsia="楷体_GB2312" w:cs="楷体_GB2312"/>
          <w:color w:val="auto"/>
          <w:sz w:val="28"/>
          <w:szCs w:val="28"/>
          <w:highlight w:val="none"/>
          <w:shd w:val="clear" w:color="auto" w:fill="FFFFFF"/>
        </w:rPr>
        <w:t>城市更新：</w:t>
      </w:r>
      <w:r>
        <w:rPr>
          <w:rFonts w:hint="eastAsia" w:ascii="仿宋" w:hAnsi="仿宋" w:eastAsia="仿宋" w:cs="仿宋"/>
          <w:color w:val="auto"/>
          <w:sz w:val="28"/>
          <w:szCs w:val="28"/>
          <w:highlight w:val="none"/>
          <w:shd w:val="clear" w:color="auto" w:fill="FFFFFF"/>
        </w:rPr>
        <w:t>指将城市中已经不适应现代化城市社会生活的地区作必要的、有计划的改建活动。</w:t>
      </w:r>
    </w:p>
    <w:p>
      <w:pPr>
        <w:pStyle w:val="13"/>
        <w:widowControl/>
        <w:shd w:val="clear" w:color="auto" w:fill="auto"/>
        <w:spacing w:before="0" w:beforeAutospacing="0" w:after="0" w:afterAutospacing="0" w:line="375" w:lineRule="atLeast"/>
        <w:ind w:firstLine="555"/>
        <w:rPr>
          <w:rFonts w:hint="eastAsia" w:ascii="仿宋_GB2312" w:hAnsi="微软雅黑" w:eastAsia="仿宋_GB2312" w:cs="仿宋_GB2312"/>
          <w:color w:val="auto"/>
          <w:sz w:val="28"/>
          <w:szCs w:val="28"/>
          <w:highlight w:val="none"/>
          <w:shd w:val="clear" w:color="auto" w:fill="FFFFFF"/>
        </w:rPr>
      </w:pPr>
      <w:r>
        <w:rPr>
          <w:rStyle w:val="17"/>
          <w:rFonts w:hint="eastAsia" w:ascii="Times New Roman" w:hAnsi="Times New Roman" w:eastAsia="楷体_GB2312" w:cs="楷体_GB2312"/>
          <w:color w:val="auto"/>
          <w:sz w:val="28"/>
          <w:szCs w:val="28"/>
          <w:highlight w:val="none"/>
          <w:shd w:val="clear" w:color="auto" w:fill="FFFFFF"/>
          <w:lang w:eastAsia="zh-CN"/>
        </w:rPr>
        <w:t>2</w:t>
      </w:r>
      <w:r>
        <w:rPr>
          <w:rStyle w:val="17"/>
          <w:rFonts w:hint="eastAsia" w:ascii="Times New Roman" w:hAnsi="Times New Roman" w:eastAsia="楷体_GB2312" w:cs="楷体_GB2312"/>
          <w:color w:val="auto"/>
          <w:sz w:val="28"/>
          <w:szCs w:val="28"/>
          <w:highlight w:val="none"/>
          <w:shd w:val="clear" w:color="auto" w:fill="FFFFFF"/>
          <w:lang w:val="en-US" w:eastAsia="zh-CN"/>
        </w:rPr>
        <w:t>1.</w:t>
      </w:r>
      <w:r>
        <w:rPr>
          <w:rStyle w:val="17"/>
          <w:rFonts w:hint="eastAsia" w:ascii="楷体_GB2312" w:hAnsi="微软雅黑" w:eastAsia="楷体_GB2312" w:cs="楷体_GB2312"/>
          <w:color w:val="auto"/>
          <w:sz w:val="28"/>
          <w:szCs w:val="28"/>
          <w:highlight w:val="none"/>
          <w:shd w:val="clear" w:color="auto" w:fill="FFFFFF"/>
        </w:rPr>
        <w:t>三线一单：</w:t>
      </w:r>
      <w:r>
        <w:rPr>
          <w:rFonts w:hint="eastAsia" w:ascii="仿宋" w:hAnsi="仿宋" w:eastAsia="仿宋" w:cs="仿宋"/>
          <w:color w:val="auto"/>
          <w:sz w:val="28"/>
          <w:szCs w:val="28"/>
          <w:highlight w:val="none"/>
          <w:shd w:val="clear" w:color="auto" w:fill="FFFFFF"/>
        </w:rPr>
        <w:t>生态保护红线、环境质量底线、资源利用上线和生态环境准入清单。</w:t>
      </w:r>
    </w:p>
    <w:p>
      <w:pPr>
        <w:pStyle w:val="13"/>
        <w:widowControl/>
        <w:shd w:val="clear" w:color="auto" w:fill="auto"/>
        <w:spacing w:before="0" w:beforeAutospacing="0" w:after="0" w:afterAutospacing="0" w:line="360" w:lineRule="atLeast"/>
        <w:ind w:firstLine="555"/>
        <w:rPr>
          <w:rFonts w:ascii="Times New Roman" w:hAnsi="Times New Roman"/>
          <w:color w:val="auto"/>
          <w:highlight w:val="none"/>
        </w:rPr>
      </w:pPr>
      <w:r>
        <w:rPr>
          <w:rStyle w:val="17"/>
          <w:rFonts w:hint="eastAsia" w:ascii="Times New Roman" w:hAnsi="Times New Roman" w:eastAsia="楷体_GB2312" w:cs="楷体_GB2312"/>
          <w:color w:val="auto"/>
          <w:sz w:val="28"/>
          <w:szCs w:val="28"/>
          <w:highlight w:val="none"/>
          <w:shd w:val="clear" w:color="auto" w:fill="FFFFFF"/>
          <w:lang w:eastAsia="zh-CN"/>
        </w:rPr>
        <w:t>2</w:t>
      </w:r>
      <w:r>
        <w:rPr>
          <w:rStyle w:val="17"/>
          <w:rFonts w:hint="eastAsia" w:ascii="Times New Roman" w:hAnsi="Times New Roman" w:eastAsia="楷体_GB2312" w:cs="楷体_GB2312"/>
          <w:color w:val="auto"/>
          <w:sz w:val="28"/>
          <w:szCs w:val="28"/>
          <w:highlight w:val="none"/>
          <w:shd w:val="clear" w:color="auto" w:fill="FFFFFF"/>
          <w:lang w:val="en-US" w:eastAsia="zh-CN"/>
        </w:rPr>
        <w:t>2.</w:t>
      </w:r>
      <w:r>
        <w:rPr>
          <w:rStyle w:val="17"/>
          <w:rFonts w:hint="eastAsia" w:ascii="楷体_GB2312" w:hAnsi="微软雅黑" w:eastAsia="楷体_GB2312" w:cs="楷体_GB2312"/>
          <w:color w:val="auto"/>
          <w:sz w:val="28"/>
          <w:szCs w:val="28"/>
          <w:highlight w:val="none"/>
          <w:shd w:val="clear" w:color="auto" w:fill="FFFFFF"/>
        </w:rPr>
        <w:t>雪亮工程：</w:t>
      </w:r>
      <w:r>
        <w:rPr>
          <w:rFonts w:hint="eastAsia" w:ascii="仿宋" w:hAnsi="仿宋" w:eastAsia="仿宋" w:cs="仿宋"/>
          <w:color w:val="auto"/>
          <w:sz w:val="28"/>
          <w:szCs w:val="28"/>
          <w:highlight w:val="none"/>
          <w:shd w:val="clear" w:color="auto" w:fill="FFFFFF"/>
        </w:rPr>
        <w:t>以县、乡、村三级综治中心为指挥平台、以综治信息化为支撑、以网格化管理为基础、以公共安全视频监控联网应用为重点的“群众性治安防控工程”。</w:t>
      </w:r>
    </w:p>
    <w:p>
      <w:pPr>
        <w:ind w:firstLine="640"/>
        <w:rPr>
          <w:color w:val="auto"/>
          <w:highlight w:val="none"/>
        </w:rPr>
        <w:sectPr>
          <w:pgSz w:w="11906" w:h="16838"/>
          <w:pgMar w:top="1440" w:right="1800" w:bottom="1440" w:left="1800" w:header="851" w:footer="992" w:gutter="0"/>
          <w:cols w:space="720" w:num="1"/>
          <w:docGrid w:type="lines" w:linePitch="312" w:charSpace="0"/>
        </w:sectPr>
      </w:pPr>
    </w:p>
    <w:p>
      <w:pPr>
        <w:ind w:firstLine="0" w:firstLineChars="0"/>
        <w:outlineLvl w:val="0"/>
        <w:rPr>
          <w:rFonts w:hint="eastAsia" w:eastAsia="仿宋"/>
          <w:b/>
          <w:bCs/>
          <w:color w:val="auto"/>
          <w:highlight w:val="none"/>
          <w:lang w:eastAsia="zh-CN"/>
        </w:rPr>
      </w:pPr>
      <w:bookmarkStart w:id="366" w:name="_Toc22871"/>
      <w:bookmarkStart w:id="367" w:name="_Toc31771"/>
      <w:bookmarkStart w:id="368" w:name="_Toc53003213"/>
      <w:r>
        <w:rPr>
          <w:b/>
          <w:bCs/>
          <w:color w:val="auto"/>
          <w:highlight w:val="none"/>
        </w:rPr>
        <w:t>附件一</w:t>
      </w:r>
      <w:bookmarkEnd w:id="366"/>
      <w:bookmarkEnd w:id="367"/>
      <w:bookmarkEnd w:id="368"/>
      <w:r>
        <w:rPr>
          <w:rFonts w:hint="eastAsia"/>
          <w:b/>
          <w:bCs/>
          <w:color w:val="auto"/>
          <w:highlight w:val="none"/>
          <w:lang w:eastAsia="zh-CN"/>
        </w:rPr>
        <w:t>：重点项目表</w:t>
      </w:r>
    </w:p>
    <w:p>
      <w:pPr>
        <w:bidi w:val="0"/>
        <w:ind w:left="0" w:leftChars="0" w:firstLine="0" w:firstLineChars="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坡头区“十四五”规划重点项目表</w:t>
      </w:r>
    </w:p>
    <w:tbl>
      <w:tblPr>
        <w:tblStyle w:val="14"/>
        <w:tblW w:w="5070" w:type="pct"/>
        <w:jc w:val="center"/>
        <w:shd w:val="clear" w:color="auto" w:fill="auto"/>
        <w:tblLayout w:type="fixed"/>
        <w:tblCellMar>
          <w:top w:w="0" w:type="dxa"/>
          <w:left w:w="0" w:type="dxa"/>
          <w:bottom w:w="0" w:type="dxa"/>
          <w:right w:w="0" w:type="dxa"/>
        </w:tblCellMar>
      </w:tblPr>
      <w:tblGrid>
        <w:gridCol w:w="708"/>
        <w:gridCol w:w="343"/>
        <w:gridCol w:w="2314"/>
        <w:gridCol w:w="5000"/>
        <w:gridCol w:w="1162"/>
        <w:gridCol w:w="1399"/>
        <w:gridCol w:w="1562"/>
        <w:gridCol w:w="1686"/>
      </w:tblGrid>
      <w:tr>
        <w:tblPrEx>
          <w:shd w:val="clear" w:color="auto" w:fill="auto"/>
        </w:tblPrEx>
        <w:trPr>
          <w:trHeight w:val="170" w:hRule="atLeast"/>
          <w:jc w:val="center"/>
        </w:trPr>
        <w:tc>
          <w:tcPr>
            <w:tcW w:w="249" w:type="pct"/>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val="en-US" w:eastAsia="zh-CN"/>
              </w:rPr>
              <w:t>序号</w:t>
            </w:r>
          </w:p>
        </w:tc>
        <w:tc>
          <w:tcPr>
            <w:tcW w:w="937" w:type="pct"/>
            <w:gridSpan w:val="2"/>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val="en-US" w:eastAsia="zh-CN"/>
              </w:rPr>
              <w:t>项目名称</w:t>
            </w:r>
          </w:p>
        </w:tc>
        <w:tc>
          <w:tcPr>
            <w:tcW w:w="1763" w:type="pct"/>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val="en-US" w:eastAsia="zh-CN"/>
              </w:rPr>
              <w:t>建设内容及规模</w:t>
            </w:r>
          </w:p>
        </w:tc>
        <w:tc>
          <w:tcPr>
            <w:tcW w:w="409" w:type="pct"/>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val="en-US" w:eastAsia="zh-CN"/>
              </w:rPr>
              <w:t>建设起止年限</w:t>
            </w:r>
          </w:p>
        </w:tc>
        <w:tc>
          <w:tcPr>
            <w:tcW w:w="493" w:type="pct"/>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val="en-US" w:eastAsia="zh-CN"/>
              </w:rPr>
              <w:t>总投资合计</w:t>
            </w:r>
          </w:p>
        </w:tc>
        <w:tc>
          <w:tcPr>
            <w:tcW w:w="551" w:type="pct"/>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val="en-US" w:eastAsia="zh-CN"/>
              </w:rPr>
              <w:t>预计到</w:t>
            </w:r>
            <w:r>
              <w:rPr>
                <w:rFonts w:hint="eastAsia" w:ascii="Times New Roman" w:hAnsi="Times New Roman" w:eastAsia="宋体" w:cs="Times New Roman"/>
                <w:b/>
                <w:i w:val="0"/>
                <w:color w:val="auto"/>
                <w:sz w:val="24"/>
                <w:szCs w:val="24"/>
                <w:highlight w:val="none"/>
                <w:u w:val="none"/>
                <w:lang w:val="en-US" w:eastAsia="zh-CN"/>
              </w:rPr>
              <w:t>2020</w:t>
            </w:r>
            <w:r>
              <w:rPr>
                <w:rFonts w:hint="default" w:ascii="Times New Roman" w:hAnsi="Times New Roman" w:eastAsia="宋体" w:cs="Times New Roman"/>
                <w:b/>
                <w:i w:val="0"/>
                <w:color w:val="auto"/>
                <w:sz w:val="24"/>
                <w:szCs w:val="24"/>
                <w:highlight w:val="none"/>
                <w:u w:val="none"/>
                <w:lang w:val="en-US" w:eastAsia="zh-CN"/>
              </w:rPr>
              <w:t>年底累计完成投资</w:t>
            </w:r>
          </w:p>
        </w:tc>
        <w:tc>
          <w:tcPr>
            <w:tcW w:w="594" w:type="pct"/>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lang w:val="en-US" w:eastAsia="zh-CN"/>
              </w:rPr>
            </w:pPr>
            <w:r>
              <w:rPr>
                <w:rFonts w:hint="default" w:ascii="Times New Roman" w:hAnsi="Times New Roman" w:eastAsia="宋体" w:cs="Times New Roman"/>
                <w:b/>
                <w:i w:val="0"/>
                <w:color w:val="auto"/>
                <w:sz w:val="24"/>
                <w:szCs w:val="24"/>
                <w:highlight w:val="none"/>
                <w:u w:val="none"/>
                <w:lang w:eastAsia="zh-CN"/>
              </w:rPr>
              <w:t>“</w:t>
            </w:r>
            <w:r>
              <w:rPr>
                <w:rFonts w:hint="default" w:ascii="Times New Roman" w:hAnsi="Times New Roman" w:eastAsia="宋体" w:cs="Times New Roman"/>
                <w:b/>
                <w:i w:val="0"/>
                <w:color w:val="auto"/>
                <w:sz w:val="24"/>
                <w:szCs w:val="24"/>
                <w:highlight w:val="none"/>
                <w:u w:val="none"/>
                <w:lang w:val="en-US" w:eastAsia="zh-CN"/>
              </w:rPr>
              <w:t>十四五</w:t>
            </w:r>
            <w:r>
              <w:rPr>
                <w:rFonts w:hint="default" w:ascii="Times New Roman" w:hAnsi="Times New Roman" w:eastAsia="宋体" w:cs="Times New Roman"/>
                <w:b/>
                <w:i w:val="0"/>
                <w:color w:val="auto"/>
                <w:sz w:val="24"/>
                <w:szCs w:val="24"/>
                <w:highlight w:val="none"/>
                <w:u w:val="none"/>
                <w:lang w:eastAsia="zh-CN"/>
              </w:rPr>
              <w:t>”</w:t>
            </w:r>
            <w:r>
              <w:rPr>
                <w:rFonts w:hint="default" w:ascii="Times New Roman" w:hAnsi="Times New Roman" w:eastAsia="宋体" w:cs="Times New Roman"/>
                <w:b/>
                <w:i w:val="0"/>
                <w:color w:val="auto"/>
                <w:sz w:val="24"/>
                <w:szCs w:val="24"/>
                <w:highlight w:val="none"/>
                <w:u w:val="none"/>
                <w:lang w:val="en-US" w:eastAsia="zh-CN"/>
              </w:rPr>
              <w:t>期间投资</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rPr>
            </w:pP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i w:val="0"/>
                <w:color w:val="auto"/>
                <w:sz w:val="24"/>
                <w:szCs w:val="24"/>
                <w:highlight w:val="none"/>
                <w:u w:val="none"/>
              </w:rPr>
            </w:pPr>
            <w:r>
              <w:rPr>
                <w:rFonts w:hint="default" w:ascii="Times New Roman" w:hAnsi="Times New Roman" w:eastAsia="宋体" w:cs="Times New Roman"/>
                <w:b/>
                <w:i w:val="0"/>
                <w:color w:val="auto"/>
                <w:kern w:val="0"/>
                <w:sz w:val="24"/>
                <w:szCs w:val="24"/>
                <w:highlight w:val="none"/>
                <w:u w:val="none"/>
                <w:lang w:val="en-US" w:eastAsia="zh-CN" w:bidi="ar"/>
              </w:rPr>
              <w:t>总计项(</w:t>
            </w:r>
            <w:r>
              <w:rPr>
                <w:rFonts w:hint="eastAsia" w:ascii="Times New Roman" w:hAnsi="Times New Roman" w:eastAsia="宋体" w:cs="Times New Roman"/>
                <w:b/>
                <w:i w:val="0"/>
                <w:color w:val="auto"/>
                <w:kern w:val="0"/>
                <w:sz w:val="24"/>
                <w:szCs w:val="24"/>
                <w:highlight w:val="none"/>
                <w:u w:val="none"/>
                <w:lang w:val="en-US" w:eastAsia="zh-CN" w:bidi="ar"/>
              </w:rPr>
              <w:t>150</w:t>
            </w:r>
            <w:r>
              <w:rPr>
                <w:rFonts w:hint="default" w:ascii="Times New Roman" w:hAnsi="Times New Roman" w:eastAsia="宋体" w:cs="Times New Roman"/>
                <w:b/>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i w:val="0"/>
                <w:color w:val="auto"/>
                <w:sz w:val="24"/>
                <w:szCs w:val="24"/>
                <w:highlight w:val="none"/>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r>
              <w:rPr>
                <w:rFonts w:hint="eastAsia" w:ascii="Times New Roman" w:hAnsi="Times New Roman" w:eastAsia="宋体" w:cs="Times New Roman"/>
                <w:b/>
                <w:i w:val="0"/>
                <w:color w:val="auto"/>
                <w:kern w:val="0"/>
                <w:sz w:val="24"/>
                <w:szCs w:val="24"/>
                <w:highlight w:val="none"/>
                <w:u w:val="none"/>
                <w:lang w:val="en-US" w:eastAsia="zh-CN" w:bidi="ar"/>
              </w:rPr>
              <w:t>18188926.31</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r>
              <w:rPr>
                <w:rFonts w:hint="eastAsia" w:ascii="Times New Roman" w:hAnsi="Times New Roman" w:eastAsia="宋体" w:cs="Times New Roman"/>
                <w:b/>
                <w:i w:val="0"/>
                <w:color w:val="auto"/>
                <w:kern w:val="0"/>
                <w:sz w:val="24"/>
                <w:szCs w:val="24"/>
                <w:highlight w:val="none"/>
                <w:u w:val="none"/>
                <w:lang w:val="en-US" w:eastAsia="zh-CN" w:bidi="ar"/>
              </w:rPr>
              <w:t>1813362.06</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r>
              <w:rPr>
                <w:rFonts w:hint="eastAsia" w:ascii="Times New Roman" w:hAnsi="Times New Roman" w:eastAsia="宋体" w:cs="Times New Roman"/>
                <w:b/>
                <w:i w:val="0"/>
                <w:color w:val="auto"/>
                <w:kern w:val="0"/>
                <w:sz w:val="24"/>
                <w:szCs w:val="24"/>
                <w:highlight w:val="none"/>
                <w:u w:val="none"/>
                <w:lang w:val="en-US" w:eastAsia="zh-CN" w:bidi="ar"/>
              </w:rPr>
              <w:t>6800997.03</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4"/>
                <w:szCs w:val="24"/>
                <w:highlight w:val="none"/>
                <w:u w:val="none"/>
                <w:lang w:val="en-US" w:eastAsia="zh-CN"/>
              </w:rPr>
            </w:pPr>
            <w:r>
              <w:rPr>
                <w:rFonts w:hint="eastAsia" w:eastAsia="宋体" w:cs="Times New Roman"/>
                <w:b/>
                <w:bCs/>
                <w:i w:val="0"/>
                <w:color w:val="auto"/>
                <w:sz w:val="24"/>
                <w:szCs w:val="24"/>
                <w:highlight w:val="none"/>
                <w:u w:val="none"/>
                <w:lang w:val="en-US" w:eastAsia="zh-CN"/>
              </w:rPr>
              <w:t>一</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i w:val="0"/>
                <w:color w:val="auto"/>
                <w:sz w:val="24"/>
                <w:szCs w:val="24"/>
                <w:highlight w:val="none"/>
                <w:u w:val="none"/>
              </w:rPr>
            </w:pPr>
            <w:r>
              <w:rPr>
                <w:rFonts w:hint="default" w:ascii="Times New Roman" w:hAnsi="Times New Roman" w:eastAsia="宋体" w:cs="Times New Roman"/>
                <w:b/>
                <w:i w:val="0"/>
                <w:color w:val="auto"/>
                <w:sz w:val="24"/>
                <w:szCs w:val="24"/>
                <w:highlight w:val="none"/>
                <w:u w:val="none"/>
              </w:rPr>
              <w:t>基础设施建设（</w:t>
            </w:r>
            <w:r>
              <w:rPr>
                <w:rFonts w:hint="eastAsia" w:ascii="Times New Roman" w:hAnsi="Times New Roman" w:eastAsia="宋体" w:cs="Times New Roman"/>
                <w:b/>
                <w:i w:val="0"/>
                <w:color w:val="auto"/>
                <w:sz w:val="24"/>
                <w:szCs w:val="24"/>
                <w:highlight w:val="none"/>
                <w:u w:val="none"/>
                <w:lang w:val="en-US" w:eastAsia="zh-CN"/>
              </w:rPr>
              <w:t>82</w:t>
            </w:r>
            <w:r>
              <w:rPr>
                <w:rFonts w:hint="default" w:ascii="Times New Roman" w:hAnsi="Times New Roman" w:eastAsia="宋体" w:cs="Times New Roman"/>
                <w:b/>
                <w:i w:val="0"/>
                <w:color w:val="auto"/>
                <w:sz w:val="24"/>
                <w:szCs w:val="24"/>
                <w:highlight w:val="none"/>
                <w:u w:val="none"/>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i w:val="0"/>
                <w:color w:val="auto"/>
                <w:sz w:val="24"/>
                <w:szCs w:val="24"/>
                <w:highlight w:val="none"/>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eastAsia="宋体" w:cs="Times New Roman"/>
                <w:i w:val="0"/>
                <w:color w:val="auto"/>
                <w:sz w:val="24"/>
                <w:szCs w:val="24"/>
                <w:highlight w:val="none"/>
                <w:u w:val="none"/>
                <w:lang w:val="en-US" w:eastAsia="zh-CN"/>
              </w:rPr>
            </w:pPr>
            <w:r>
              <w:rPr>
                <w:rFonts w:hint="eastAsia" w:eastAsia="宋体" w:cs="Times New Roman"/>
                <w:b/>
                <w:bCs/>
                <w:i w:val="0"/>
                <w:color w:val="auto"/>
                <w:sz w:val="24"/>
                <w:szCs w:val="24"/>
                <w:highlight w:val="none"/>
                <w:u w:val="none"/>
                <w:lang w:val="en-US" w:eastAsia="zh-CN"/>
              </w:rPr>
              <w:t>（一）</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i w:val="0"/>
                <w:color w:val="auto"/>
                <w:sz w:val="24"/>
                <w:szCs w:val="24"/>
                <w:highlight w:val="none"/>
                <w:u w:val="none"/>
              </w:rPr>
            </w:pPr>
            <w:r>
              <w:rPr>
                <w:rFonts w:hint="default" w:ascii="Times New Roman" w:hAnsi="Times New Roman" w:eastAsia="宋体" w:cs="Times New Roman"/>
                <w:b/>
                <w:bCs/>
                <w:i w:val="0"/>
                <w:color w:val="auto"/>
                <w:sz w:val="24"/>
                <w:szCs w:val="24"/>
                <w:highlight w:val="none"/>
                <w:u w:val="none"/>
              </w:rPr>
              <w:t>公路工程</w:t>
            </w:r>
            <w:r>
              <w:rPr>
                <w:rFonts w:hint="eastAsia" w:eastAsia="宋体" w:cs="Times New Roman"/>
                <w:b/>
                <w:bCs/>
                <w:i w:val="0"/>
                <w:color w:val="auto"/>
                <w:sz w:val="24"/>
                <w:szCs w:val="24"/>
                <w:highlight w:val="none"/>
                <w:u w:val="none"/>
                <w:lang w:val="en-US" w:eastAsia="zh-CN"/>
              </w:rPr>
              <w:t>项目</w:t>
            </w:r>
            <w:r>
              <w:rPr>
                <w:rFonts w:hint="default" w:ascii="Times New Roman" w:hAnsi="Times New Roman" w:eastAsia="宋体" w:cs="Times New Roman"/>
                <w:b/>
                <w:bCs/>
                <w:i w:val="0"/>
                <w:color w:val="auto"/>
                <w:sz w:val="24"/>
                <w:szCs w:val="24"/>
                <w:highlight w:val="none"/>
                <w:u w:val="none"/>
              </w:rPr>
              <w:t>(</w:t>
            </w:r>
            <w:r>
              <w:rPr>
                <w:rFonts w:hint="eastAsia" w:ascii="Times New Roman" w:hAnsi="Times New Roman" w:eastAsia="宋体" w:cs="Times New Roman"/>
                <w:b/>
                <w:bCs/>
                <w:i w:val="0"/>
                <w:color w:val="auto"/>
                <w:sz w:val="24"/>
                <w:szCs w:val="24"/>
                <w:highlight w:val="none"/>
                <w:u w:val="none"/>
                <w:lang w:val="en-US" w:eastAsia="zh-CN"/>
              </w:rPr>
              <w:t>42</w:t>
            </w:r>
            <w:r>
              <w:rPr>
                <w:rFonts w:hint="default" w:ascii="Times New Roman" w:hAnsi="Times New Roman" w:eastAsia="宋体" w:cs="Times New Roman"/>
                <w:b/>
                <w:bCs/>
                <w:i w:val="0"/>
                <w:color w:val="auto"/>
                <w:sz w:val="24"/>
                <w:szCs w:val="24"/>
                <w:highlight w:val="none"/>
                <w:u w:val="none"/>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i w:val="0"/>
                <w:color w:val="auto"/>
                <w:sz w:val="24"/>
                <w:szCs w:val="24"/>
                <w:highlight w:val="none"/>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i w:val="0"/>
                <w:color w:val="auto"/>
                <w:sz w:val="24"/>
                <w:szCs w:val="24"/>
                <w:highlight w:val="none"/>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i w:val="0"/>
                <w:color w:val="auto"/>
                <w:sz w:val="24"/>
                <w:szCs w:val="24"/>
                <w:highlight w:val="none"/>
                <w:u w:val="none"/>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东海岛至南三岛海底隧道</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新建高速公路</w:t>
            </w:r>
            <w:r>
              <w:rPr>
                <w:rFonts w:hint="eastAsia" w:ascii="Times New Roman" w:hAnsi="Times New Roman" w:eastAsia="宋体" w:cs="Times New Roman"/>
                <w:i w:val="0"/>
                <w:color w:val="auto"/>
                <w:kern w:val="0"/>
                <w:sz w:val="24"/>
                <w:szCs w:val="24"/>
                <w:highlight w:val="none"/>
                <w:u w:val="none"/>
                <w:lang w:val="en-US" w:eastAsia="zh-CN" w:bidi="ar"/>
              </w:rPr>
              <w:t>37.85</w:t>
            </w:r>
            <w:r>
              <w:rPr>
                <w:rFonts w:hint="default" w:ascii="Times New Roman" w:hAnsi="Times New Roman" w:eastAsia="宋体" w:cs="Times New Roman"/>
                <w:i w:val="0"/>
                <w:color w:val="auto"/>
                <w:kern w:val="0"/>
                <w:sz w:val="24"/>
                <w:szCs w:val="24"/>
                <w:highlight w:val="none"/>
                <w:u w:val="none"/>
                <w:lang w:val="en-US" w:eastAsia="zh-CN" w:bidi="ar"/>
              </w:rPr>
              <w:t>公里，其中海底隧道段约</w:t>
            </w:r>
            <w:r>
              <w:rPr>
                <w:rFonts w:hint="eastAsia" w:ascii="Times New Roman" w:hAnsi="Times New Roman" w:eastAsia="宋体" w:cs="Times New Roman"/>
                <w:i w:val="0"/>
                <w:color w:val="auto"/>
                <w:kern w:val="0"/>
                <w:sz w:val="24"/>
                <w:szCs w:val="24"/>
                <w:highlight w:val="none"/>
                <w:u w:val="none"/>
                <w:lang w:val="en-US" w:eastAsia="zh-CN" w:bidi="ar"/>
              </w:rPr>
              <w:t>5.5</w:t>
            </w:r>
            <w:r>
              <w:rPr>
                <w:rFonts w:hint="default" w:ascii="Times New Roman" w:hAnsi="Times New Roman" w:eastAsia="宋体" w:cs="Times New Roman"/>
                <w:i w:val="0"/>
                <w:color w:val="auto"/>
                <w:kern w:val="0"/>
                <w:sz w:val="24"/>
                <w:szCs w:val="24"/>
                <w:highlight w:val="none"/>
                <w:u w:val="none"/>
                <w:lang w:val="en-US" w:eastAsia="zh-CN" w:bidi="ar"/>
              </w:rPr>
              <w:t>公里</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2027</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960000.00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4"/>
                <w:szCs w:val="24"/>
                <w:highlight w:val="none"/>
                <w:u w:val="none"/>
                <w:lang w:eastAsia="zh-CN"/>
              </w:rPr>
            </w:pPr>
            <w:r>
              <w:rPr>
                <w:rFonts w:hint="eastAsia" w:ascii="Times New Roman" w:hAnsi="Times New Roman" w:eastAsia="宋体" w:cs="Times New Roman"/>
                <w:i w:val="0"/>
                <w:color w:val="auto"/>
                <w:sz w:val="24"/>
                <w:szCs w:val="24"/>
                <w:highlight w:val="none"/>
                <w:u w:val="none"/>
                <w:lang w:eastAsia="zh-CN"/>
              </w:rPr>
              <w:t>500000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湛江内港湾海底隧道及连接线（隧道：霞山时代广场至南三大桥北桥头。连接线：南三大桥北桥头沿南三河北岸至云湛高速南三线）</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全长约</w:t>
            </w:r>
            <w:r>
              <w:rPr>
                <w:rFonts w:hint="eastAsia" w:ascii="Times New Roman" w:hAnsi="Times New Roman" w:eastAsia="宋体" w:cs="Times New Roman"/>
                <w:i w:val="0"/>
                <w:color w:val="auto"/>
                <w:kern w:val="0"/>
                <w:sz w:val="24"/>
                <w:szCs w:val="24"/>
                <w:highlight w:val="none"/>
                <w:u w:val="none"/>
                <w:lang w:val="en-US" w:eastAsia="zh-CN" w:bidi="ar"/>
              </w:rPr>
              <w:t>15</w:t>
            </w:r>
            <w:r>
              <w:rPr>
                <w:rFonts w:hint="default" w:ascii="Times New Roman" w:hAnsi="Times New Roman" w:eastAsia="宋体" w:cs="Times New Roman"/>
                <w:i w:val="0"/>
                <w:color w:val="auto"/>
                <w:kern w:val="0"/>
                <w:sz w:val="24"/>
                <w:szCs w:val="24"/>
                <w:highlight w:val="none"/>
                <w:u w:val="none"/>
                <w:lang w:val="en-US" w:eastAsia="zh-CN" w:bidi="ar"/>
              </w:rPr>
              <w:t>公里，采用一级公路标准设计，隧道段：按控制</w:t>
            </w:r>
            <w:r>
              <w:rPr>
                <w:rFonts w:hint="eastAsia" w:ascii="Times New Roman" w:hAnsi="Times New Roman" w:eastAsia="宋体" w:cs="Times New Roman"/>
                <w:i w:val="0"/>
                <w:color w:val="auto"/>
                <w:kern w:val="0"/>
                <w:sz w:val="24"/>
                <w:szCs w:val="24"/>
                <w:highlight w:val="none"/>
                <w:u w:val="none"/>
                <w:lang w:val="en-US" w:eastAsia="zh-CN" w:bidi="ar"/>
              </w:rPr>
              <w:t>80</w:t>
            </w:r>
            <w:r>
              <w:rPr>
                <w:rFonts w:hint="default" w:ascii="Times New Roman" w:hAnsi="Times New Roman" w:eastAsia="宋体" w:cs="Times New Roman"/>
                <w:i w:val="0"/>
                <w:color w:val="auto"/>
                <w:kern w:val="0"/>
                <w:sz w:val="24"/>
                <w:szCs w:val="24"/>
                <w:highlight w:val="none"/>
                <w:u w:val="none"/>
                <w:lang w:val="en-US" w:eastAsia="zh-CN" w:bidi="ar"/>
              </w:rPr>
              <w:t>米双向六车道，路面段按双向六车道规划设计，设计速度为</w:t>
            </w:r>
            <w:r>
              <w:rPr>
                <w:rFonts w:hint="eastAsia" w:ascii="Times New Roman" w:hAnsi="Times New Roman" w:eastAsia="宋体" w:cs="Times New Roman"/>
                <w:i w:val="0"/>
                <w:color w:val="auto"/>
                <w:kern w:val="0"/>
                <w:sz w:val="24"/>
                <w:szCs w:val="24"/>
                <w:highlight w:val="none"/>
                <w:u w:val="none"/>
                <w:lang w:val="en-US" w:eastAsia="zh-CN" w:bidi="ar"/>
              </w:rPr>
              <w:t>80KM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，总投资约</w:t>
            </w:r>
            <w:r>
              <w:rPr>
                <w:rFonts w:hint="eastAsia" w:ascii="Times New Roman" w:hAnsi="Times New Roman" w:eastAsia="宋体" w:cs="Times New Roman"/>
                <w:i w:val="0"/>
                <w:color w:val="auto"/>
                <w:kern w:val="0"/>
                <w:sz w:val="24"/>
                <w:szCs w:val="24"/>
                <w:highlight w:val="none"/>
                <w:u w:val="none"/>
                <w:lang w:val="en-US" w:eastAsia="zh-CN" w:bidi="ar"/>
              </w:rPr>
              <w:t>45</w:t>
            </w:r>
            <w:r>
              <w:rPr>
                <w:rFonts w:hint="default" w:ascii="Times New Roman" w:hAnsi="Times New Roman" w:eastAsia="宋体" w:cs="Times New Roman"/>
                <w:i w:val="0"/>
                <w:color w:val="auto"/>
                <w:kern w:val="0"/>
                <w:sz w:val="24"/>
                <w:szCs w:val="24"/>
                <w:highlight w:val="none"/>
                <w:u w:val="none"/>
                <w:lang w:val="en-US" w:eastAsia="zh-CN" w:bidi="ar"/>
              </w:rPr>
              <w:t>亿元。</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2025</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2030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450000.00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4"/>
                <w:szCs w:val="24"/>
                <w:highlight w:val="none"/>
                <w:u w:val="none"/>
                <w:lang w:eastAsia="zh-CN"/>
              </w:rPr>
            </w:pPr>
            <w:r>
              <w:rPr>
                <w:rFonts w:hint="eastAsia" w:ascii="Times New Roman" w:hAnsi="Times New Roman" w:eastAsia="宋体" w:cs="Times New Roman"/>
                <w:i w:val="0"/>
                <w:color w:val="auto"/>
                <w:sz w:val="24"/>
                <w:szCs w:val="24"/>
                <w:highlight w:val="none"/>
                <w:u w:val="none"/>
                <w:lang w:eastAsia="zh-CN"/>
              </w:rPr>
              <w:t>20000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湛江环城高速南三岛大桥（坡头至南三岛段）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新建高速公路</w:t>
            </w:r>
            <w:r>
              <w:rPr>
                <w:rFonts w:hint="eastAsia" w:ascii="Times New Roman" w:hAnsi="Times New Roman" w:eastAsia="宋体" w:cs="Times New Roman"/>
                <w:i w:val="0"/>
                <w:color w:val="auto"/>
                <w:kern w:val="0"/>
                <w:sz w:val="24"/>
                <w:szCs w:val="24"/>
                <w:highlight w:val="none"/>
                <w:u w:val="none"/>
                <w:lang w:val="en-US" w:eastAsia="zh-CN" w:bidi="ar"/>
              </w:rPr>
              <w:t>16.077</w:t>
            </w:r>
            <w:r>
              <w:rPr>
                <w:rFonts w:hint="default" w:ascii="Times New Roman" w:hAnsi="Times New Roman" w:eastAsia="宋体" w:cs="Times New Roman"/>
                <w:i w:val="0"/>
                <w:color w:val="auto"/>
                <w:kern w:val="0"/>
                <w:sz w:val="24"/>
                <w:szCs w:val="24"/>
                <w:highlight w:val="none"/>
                <w:u w:val="none"/>
                <w:lang w:val="en-US" w:eastAsia="zh-CN" w:bidi="ar"/>
              </w:rPr>
              <w:t>公里，双向四车道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285914</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72139</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213775.00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广东滨海旅游公路坡头段（原麻乾观光大道）</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新改建</w:t>
            </w:r>
            <w:r>
              <w:rPr>
                <w:rFonts w:hint="eastAsia" w:ascii="Times New Roman" w:hAnsi="Times New Roman" w:eastAsia="宋体" w:cs="Times New Roman"/>
                <w:i w:val="0"/>
                <w:color w:val="auto"/>
                <w:kern w:val="0"/>
                <w:sz w:val="24"/>
                <w:szCs w:val="24"/>
                <w:highlight w:val="none"/>
                <w:u w:val="none"/>
                <w:lang w:val="en-US" w:eastAsia="zh-CN" w:bidi="ar"/>
              </w:rPr>
              <w:t>44</w:t>
            </w:r>
            <w:r>
              <w:rPr>
                <w:rFonts w:hint="default" w:ascii="Times New Roman" w:hAnsi="Times New Roman" w:eastAsia="宋体" w:cs="Times New Roman"/>
                <w:i w:val="0"/>
                <w:color w:val="auto"/>
                <w:kern w:val="0"/>
                <w:sz w:val="24"/>
                <w:szCs w:val="24"/>
                <w:highlight w:val="none"/>
                <w:u w:val="none"/>
                <w:lang w:val="en-US" w:eastAsia="zh-CN" w:bidi="ar"/>
              </w:rPr>
              <w:t>公里，一级公路，双向四至两车道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2025</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2030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220000.00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省道</w:t>
            </w:r>
            <w:r>
              <w:rPr>
                <w:rFonts w:hint="eastAsia" w:ascii="Times New Roman" w:hAnsi="Times New Roman" w:eastAsia="宋体" w:cs="Times New Roman"/>
                <w:i w:val="0"/>
                <w:color w:val="auto"/>
                <w:kern w:val="0"/>
                <w:sz w:val="24"/>
                <w:szCs w:val="24"/>
                <w:highlight w:val="none"/>
                <w:u w:val="none"/>
                <w:lang w:val="en-US" w:eastAsia="zh-CN" w:bidi="ar"/>
              </w:rPr>
              <w:t>286</w:t>
            </w:r>
            <w:r>
              <w:rPr>
                <w:rFonts w:hint="default" w:ascii="Times New Roman" w:hAnsi="Times New Roman" w:eastAsia="宋体" w:cs="Times New Roman"/>
                <w:i w:val="0"/>
                <w:color w:val="auto"/>
                <w:kern w:val="0"/>
                <w:sz w:val="24"/>
                <w:szCs w:val="24"/>
                <w:highlight w:val="none"/>
                <w:u w:val="none"/>
                <w:lang w:val="en-US" w:eastAsia="zh-CN" w:bidi="ar"/>
              </w:rPr>
              <w:t>线南三岛北涯至南三林场段改建工程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16.783</w:t>
            </w:r>
            <w:r>
              <w:rPr>
                <w:rFonts w:hint="default" w:ascii="Times New Roman" w:hAnsi="Times New Roman" w:eastAsia="宋体" w:cs="Times New Roman"/>
                <w:i w:val="0"/>
                <w:color w:val="auto"/>
                <w:kern w:val="0"/>
                <w:sz w:val="24"/>
                <w:szCs w:val="24"/>
                <w:highlight w:val="none"/>
                <w:u w:val="none"/>
                <w:lang w:val="en-US" w:eastAsia="zh-CN" w:bidi="ar"/>
              </w:rPr>
              <w:t>公里，双向四车道一级公路</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84370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27672</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56698</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乾龙公路（海江公路省道</w:t>
            </w:r>
            <w:r>
              <w:rPr>
                <w:rFonts w:hint="eastAsia" w:ascii="Times New Roman" w:hAnsi="Times New Roman" w:eastAsia="宋体" w:cs="Times New Roman"/>
                <w:i w:val="0"/>
                <w:color w:val="auto"/>
                <w:kern w:val="0"/>
                <w:sz w:val="24"/>
                <w:szCs w:val="24"/>
                <w:highlight w:val="none"/>
                <w:u w:val="none"/>
                <w:lang w:val="en-US" w:eastAsia="zh-CN" w:bidi="ar"/>
              </w:rPr>
              <w:t>S081</w:t>
            </w:r>
            <w:r>
              <w:rPr>
                <w:rFonts w:hint="default" w:ascii="Times New Roman" w:hAnsi="Times New Roman" w:eastAsia="宋体" w:cs="Times New Roman"/>
                <w:i w:val="0"/>
                <w:color w:val="auto"/>
                <w:kern w:val="0"/>
                <w:sz w:val="24"/>
                <w:szCs w:val="24"/>
                <w:highlight w:val="none"/>
                <w:u w:val="none"/>
                <w:lang w:val="en-US" w:eastAsia="zh-CN" w:bidi="ar"/>
              </w:rPr>
              <w:t>至官滘段）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13.4</w:t>
            </w:r>
            <w:r>
              <w:rPr>
                <w:rFonts w:hint="default" w:ascii="Times New Roman" w:hAnsi="Times New Roman" w:eastAsia="宋体" w:cs="Times New Roman"/>
                <w:i w:val="0"/>
                <w:color w:val="auto"/>
                <w:kern w:val="0"/>
                <w:sz w:val="24"/>
                <w:szCs w:val="24"/>
                <w:highlight w:val="none"/>
                <w:u w:val="none"/>
                <w:lang w:val="en-US" w:eastAsia="zh-CN" w:bidi="ar"/>
              </w:rPr>
              <w:t>公里，按四车道一级公路规划设计，路基</w:t>
            </w:r>
            <w:r>
              <w:rPr>
                <w:rFonts w:hint="eastAsia" w:ascii="Times New Roman" w:hAnsi="Times New Roman" w:eastAsia="宋体" w:cs="Times New Roman"/>
                <w:i w:val="0"/>
                <w:color w:val="auto"/>
                <w:kern w:val="0"/>
                <w:sz w:val="24"/>
                <w:szCs w:val="24"/>
                <w:highlight w:val="none"/>
                <w:u w:val="none"/>
                <w:lang w:val="en-US" w:eastAsia="zh-CN" w:bidi="ar"/>
              </w:rPr>
              <w:t>23</w:t>
            </w:r>
            <w:r>
              <w:rPr>
                <w:rFonts w:hint="default" w:ascii="Times New Roman" w:hAnsi="Times New Roman" w:eastAsia="宋体" w:cs="Times New Roman"/>
                <w:i w:val="0"/>
                <w:color w:val="auto"/>
                <w:kern w:val="0"/>
                <w:sz w:val="24"/>
                <w:szCs w:val="24"/>
                <w:highlight w:val="none"/>
                <w:u w:val="none"/>
                <w:lang w:val="en-US" w:eastAsia="zh-CN" w:bidi="ar"/>
              </w:rPr>
              <w:t>米，路面</w:t>
            </w:r>
            <w:r>
              <w:rPr>
                <w:rFonts w:hint="eastAsia" w:ascii="Times New Roman" w:hAnsi="Times New Roman" w:eastAsia="宋体" w:cs="Times New Roman"/>
                <w:i w:val="0"/>
                <w:color w:val="auto"/>
                <w:kern w:val="0"/>
                <w:sz w:val="24"/>
                <w:szCs w:val="24"/>
                <w:highlight w:val="none"/>
                <w:u w:val="none"/>
                <w:lang w:val="en-US" w:eastAsia="zh-CN" w:bidi="ar"/>
              </w:rPr>
              <w:t>21</w:t>
            </w:r>
            <w:r>
              <w:rPr>
                <w:rFonts w:hint="default" w:ascii="Times New Roman" w:hAnsi="Times New Roman" w:eastAsia="宋体" w:cs="Times New Roman"/>
                <w:i w:val="0"/>
                <w:color w:val="auto"/>
                <w:kern w:val="0"/>
                <w:sz w:val="24"/>
                <w:szCs w:val="24"/>
                <w:highlight w:val="none"/>
                <w:u w:val="none"/>
                <w:lang w:val="en-US" w:eastAsia="zh-CN" w:bidi="ar"/>
              </w:rPr>
              <w:t>米，设计时速为</w:t>
            </w:r>
            <w:r>
              <w:rPr>
                <w:rFonts w:hint="eastAsia" w:ascii="Times New Roman" w:hAnsi="Times New Roman" w:eastAsia="宋体" w:cs="Times New Roman"/>
                <w:i w:val="0"/>
                <w:color w:val="auto"/>
                <w:kern w:val="0"/>
                <w:sz w:val="24"/>
                <w:szCs w:val="24"/>
                <w:highlight w:val="none"/>
                <w:u w:val="none"/>
                <w:lang w:val="en-US" w:eastAsia="zh-CN" w:bidi="ar"/>
              </w:rPr>
              <w:t>60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80KM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43700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9736</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23598</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军港大道二期工程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起点接部队</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号门岗跨海大桥东侧，往南与规划中的荣昌路、东盛大道、军民路相交，途经南油四区与部队营区间的海沟，终点至怡海路，长约</w:t>
            </w:r>
            <w:r>
              <w:rPr>
                <w:rFonts w:hint="eastAsia" w:ascii="Times New Roman" w:hAnsi="Times New Roman" w:eastAsia="宋体" w:cs="Times New Roman"/>
                <w:i w:val="0"/>
                <w:color w:val="auto"/>
                <w:kern w:val="0"/>
                <w:sz w:val="24"/>
                <w:szCs w:val="24"/>
                <w:highlight w:val="none"/>
                <w:u w:val="none"/>
                <w:lang w:val="en-US" w:eastAsia="zh-CN" w:bidi="ar"/>
              </w:rPr>
              <w:t>2.9</w:t>
            </w:r>
            <w:r>
              <w:rPr>
                <w:rFonts w:hint="default" w:ascii="Times New Roman" w:hAnsi="Times New Roman" w:eastAsia="宋体" w:cs="Times New Roman"/>
                <w:i w:val="0"/>
                <w:color w:val="auto"/>
                <w:kern w:val="0"/>
                <w:sz w:val="24"/>
                <w:szCs w:val="24"/>
                <w:highlight w:val="none"/>
                <w:u w:val="none"/>
                <w:lang w:val="en-US" w:eastAsia="zh-CN" w:bidi="ar"/>
              </w:rPr>
              <w:t>公里，红线宽度约</w:t>
            </w:r>
            <w:r>
              <w:rPr>
                <w:rFonts w:hint="eastAsia" w:ascii="Times New Roman" w:hAnsi="Times New Roman" w:eastAsia="宋体" w:cs="Times New Roman"/>
                <w:i w:val="0"/>
                <w:color w:val="auto"/>
                <w:kern w:val="0"/>
                <w:sz w:val="24"/>
                <w:szCs w:val="24"/>
                <w:highlight w:val="none"/>
                <w:u w:val="none"/>
                <w:lang w:val="en-US" w:eastAsia="zh-CN" w:bidi="ar"/>
              </w:rPr>
              <w:t>36</w:t>
            </w:r>
            <w:r>
              <w:rPr>
                <w:rFonts w:hint="default" w:ascii="Times New Roman" w:hAnsi="Times New Roman" w:eastAsia="宋体" w:cs="Times New Roman"/>
                <w:i w:val="0"/>
                <w:color w:val="auto"/>
                <w:kern w:val="0"/>
                <w:sz w:val="24"/>
                <w:szCs w:val="24"/>
                <w:highlight w:val="none"/>
                <w:u w:val="none"/>
                <w:lang w:val="en-US" w:eastAsia="zh-CN" w:bidi="ar"/>
              </w:rPr>
              <w:t>米，道路等级为城市主干路。</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70110.00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26313.00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43797.00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汕湛高速公路云浮至湛江段吴川支线（坡头区段）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新建高速公路</w:t>
            </w:r>
            <w:r>
              <w:rPr>
                <w:rFonts w:hint="eastAsia" w:ascii="Times New Roman" w:hAnsi="Times New Roman" w:eastAsia="宋体" w:cs="Times New Roman"/>
                <w:i w:val="0"/>
                <w:color w:val="auto"/>
                <w:kern w:val="0"/>
                <w:sz w:val="24"/>
                <w:szCs w:val="24"/>
                <w:highlight w:val="none"/>
                <w:u w:val="none"/>
                <w:lang w:val="en-US" w:eastAsia="zh-CN" w:bidi="ar"/>
              </w:rPr>
              <w:t>26.723</w:t>
            </w:r>
            <w:r>
              <w:rPr>
                <w:rFonts w:hint="default" w:ascii="Times New Roman" w:hAnsi="Times New Roman" w:eastAsia="宋体" w:cs="Times New Roman"/>
                <w:i w:val="0"/>
                <w:color w:val="auto"/>
                <w:kern w:val="0"/>
                <w:sz w:val="24"/>
                <w:szCs w:val="24"/>
                <w:highlight w:val="none"/>
                <w:u w:val="none"/>
                <w:lang w:val="en-US" w:eastAsia="zh-CN" w:bidi="ar"/>
              </w:rPr>
              <w:t>公里，双向四至六车道，其中坡头区段</w:t>
            </w:r>
            <w:r>
              <w:rPr>
                <w:rFonts w:hint="eastAsia" w:ascii="Times New Roman" w:hAnsi="Times New Roman" w:eastAsia="宋体" w:cs="Times New Roman"/>
                <w:i w:val="0"/>
                <w:color w:val="auto"/>
                <w:kern w:val="0"/>
                <w:sz w:val="24"/>
                <w:szCs w:val="24"/>
                <w:highlight w:val="none"/>
                <w:u w:val="none"/>
                <w:lang w:val="en-US" w:eastAsia="zh-CN" w:bidi="ar"/>
              </w:rPr>
              <w:t>6.1</w:t>
            </w:r>
            <w:r>
              <w:rPr>
                <w:rFonts w:hint="default" w:ascii="Times New Roman" w:hAnsi="Times New Roman" w:eastAsia="宋体" w:cs="Times New Roman"/>
                <w:i w:val="0"/>
                <w:color w:val="auto"/>
                <w:kern w:val="0"/>
                <w:sz w:val="24"/>
                <w:szCs w:val="24"/>
                <w:highlight w:val="none"/>
                <w:u w:val="none"/>
                <w:lang w:val="en-US" w:eastAsia="zh-CN" w:bidi="ar"/>
              </w:rPr>
              <w:t>公里。（总投资：</w:t>
            </w:r>
            <w:r>
              <w:rPr>
                <w:rFonts w:hint="eastAsia" w:ascii="Times New Roman" w:hAnsi="Times New Roman" w:eastAsia="宋体" w:cs="Times New Roman"/>
                <w:i w:val="0"/>
                <w:color w:val="auto"/>
                <w:kern w:val="0"/>
                <w:sz w:val="24"/>
                <w:szCs w:val="24"/>
                <w:highlight w:val="none"/>
                <w:u w:val="none"/>
                <w:lang w:val="en-US" w:eastAsia="zh-CN" w:bidi="ar"/>
              </w:rPr>
              <w:t>293920</w:t>
            </w:r>
            <w:r>
              <w:rPr>
                <w:rFonts w:hint="default" w:ascii="Times New Roman" w:hAnsi="Times New Roman" w:eastAsia="宋体" w:cs="Times New Roman"/>
                <w:i w:val="0"/>
                <w:color w:val="auto"/>
                <w:kern w:val="0"/>
                <w:sz w:val="24"/>
                <w:szCs w:val="24"/>
                <w:highlight w:val="none"/>
                <w:u w:val="none"/>
                <w:lang w:val="en-US" w:eastAsia="zh-CN" w:bidi="ar"/>
              </w:rPr>
              <w:t>万元，坡头区段约占</w:t>
            </w:r>
            <w:r>
              <w:rPr>
                <w:rFonts w:hint="eastAsia" w:ascii="Times New Roman" w:hAnsi="Times New Roman" w:eastAsia="宋体" w:cs="Times New Roman"/>
                <w:i w:val="0"/>
                <w:color w:val="auto"/>
                <w:kern w:val="0"/>
                <w:sz w:val="24"/>
                <w:szCs w:val="24"/>
                <w:highlight w:val="none"/>
                <w:u w:val="none"/>
                <w:lang w:val="en-US" w:eastAsia="zh-CN" w:bidi="ar"/>
              </w:rPr>
              <w:t>20%</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2017</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58784</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37007</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21777</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调顺跨海大桥一期工程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里程</w:t>
            </w:r>
            <w:r>
              <w:rPr>
                <w:rFonts w:hint="eastAsia" w:ascii="Times New Roman" w:hAnsi="Times New Roman" w:eastAsia="宋体" w:cs="Times New Roman"/>
                <w:i w:val="0"/>
                <w:color w:val="auto"/>
                <w:kern w:val="0"/>
                <w:sz w:val="24"/>
                <w:szCs w:val="24"/>
                <w:highlight w:val="none"/>
                <w:u w:val="none"/>
                <w:lang w:val="en-US" w:eastAsia="zh-CN" w:bidi="ar"/>
              </w:rPr>
              <w:t>9.824</w:t>
            </w:r>
            <w:r>
              <w:rPr>
                <w:rFonts w:hint="default" w:ascii="Times New Roman" w:hAnsi="Times New Roman" w:eastAsia="宋体" w:cs="Times New Roman"/>
                <w:i w:val="0"/>
                <w:color w:val="auto"/>
                <w:kern w:val="0"/>
                <w:sz w:val="24"/>
                <w:szCs w:val="24"/>
                <w:highlight w:val="none"/>
                <w:u w:val="none"/>
                <w:lang w:val="en-US" w:eastAsia="zh-CN" w:bidi="ar"/>
              </w:rPr>
              <w:t>公里（坡头区部分占比</w:t>
            </w:r>
            <w:r>
              <w:rPr>
                <w:rFonts w:hint="eastAsia" w:ascii="Times New Roman" w:hAnsi="Times New Roman" w:eastAsia="宋体" w:cs="Times New Roman"/>
                <w:i w:val="0"/>
                <w:color w:val="auto"/>
                <w:kern w:val="0"/>
                <w:sz w:val="24"/>
                <w:szCs w:val="24"/>
                <w:highlight w:val="none"/>
                <w:u w:val="none"/>
                <w:lang w:val="en-US" w:eastAsia="zh-CN" w:bidi="ar"/>
              </w:rPr>
              <w:t>39.8%</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2017</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89627</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86806</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2821</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湛江机场高速公路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建设高速公路</w:t>
            </w:r>
            <w:r>
              <w:rPr>
                <w:rFonts w:hint="eastAsia" w:ascii="Times New Roman" w:hAnsi="Times New Roman" w:eastAsia="宋体" w:cs="Times New Roman"/>
                <w:i w:val="0"/>
                <w:color w:val="auto"/>
                <w:kern w:val="0"/>
                <w:sz w:val="24"/>
                <w:szCs w:val="24"/>
                <w:highlight w:val="none"/>
                <w:u w:val="none"/>
                <w:lang w:val="en-US" w:eastAsia="zh-CN" w:bidi="ar"/>
              </w:rPr>
              <w:t>24.537</w:t>
            </w:r>
            <w:r>
              <w:rPr>
                <w:rFonts w:hint="default" w:ascii="Times New Roman" w:hAnsi="Times New Roman" w:eastAsia="宋体" w:cs="Times New Roman"/>
                <w:i w:val="0"/>
                <w:color w:val="auto"/>
                <w:kern w:val="0"/>
                <w:sz w:val="24"/>
                <w:szCs w:val="24"/>
                <w:highlight w:val="none"/>
                <w:u w:val="none"/>
                <w:lang w:val="en-US" w:eastAsia="zh-CN" w:bidi="ar"/>
              </w:rPr>
              <w:t>公里，其中新建段</w:t>
            </w:r>
            <w:r>
              <w:rPr>
                <w:rFonts w:hint="eastAsia" w:ascii="Times New Roman" w:hAnsi="Times New Roman" w:eastAsia="宋体" w:cs="Times New Roman"/>
                <w:i w:val="0"/>
                <w:color w:val="auto"/>
                <w:kern w:val="0"/>
                <w:sz w:val="24"/>
                <w:szCs w:val="24"/>
                <w:highlight w:val="none"/>
                <w:u w:val="none"/>
                <w:lang w:val="en-US" w:eastAsia="zh-CN" w:bidi="ar"/>
              </w:rPr>
              <w:t>11.596</w:t>
            </w:r>
            <w:r>
              <w:rPr>
                <w:rFonts w:hint="default" w:ascii="Times New Roman" w:hAnsi="Times New Roman" w:eastAsia="宋体" w:cs="Times New Roman"/>
                <w:i w:val="0"/>
                <w:color w:val="auto"/>
                <w:kern w:val="0"/>
                <w:sz w:val="24"/>
                <w:szCs w:val="24"/>
                <w:highlight w:val="none"/>
                <w:u w:val="none"/>
                <w:lang w:val="en-US" w:eastAsia="zh-CN" w:bidi="ar"/>
              </w:rPr>
              <w:t>公里，改造段</w:t>
            </w:r>
            <w:r>
              <w:rPr>
                <w:rFonts w:hint="eastAsia" w:ascii="Times New Roman" w:hAnsi="Times New Roman" w:eastAsia="宋体" w:cs="Times New Roman"/>
                <w:i w:val="0"/>
                <w:color w:val="auto"/>
                <w:kern w:val="0"/>
                <w:sz w:val="24"/>
                <w:szCs w:val="24"/>
                <w:highlight w:val="none"/>
                <w:u w:val="none"/>
                <w:lang w:val="en-US" w:eastAsia="zh-CN" w:bidi="ar"/>
              </w:rPr>
              <w:t>7.198</w:t>
            </w:r>
            <w:r>
              <w:rPr>
                <w:rFonts w:hint="default" w:ascii="Times New Roman" w:hAnsi="Times New Roman" w:eastAsia="宋体" w:cs="Times New Roman"/>
                <w:i w:val="0"/>
                <w:color w:val="auto"/>
                <w:kern w:val="0"/>
                <w:sz w:val="24"/>
                <w:szCs w:val="24"/>
                <w:highlight w:val="none"/>
                <w:u w:val="none"/>
                <w:lang w:val="en-US" w:eastAsia="zh-CN" w:bidi="ar"/>
              </w:rPr>
              <w:t>公里，利用段</w:t>
            </w:r>
            <w:r>
              <w:rPr>
                <w:rFonts w:hint="eastAsia" w:ascii="Times New Roman" w:hAnsi="Times New Roman" w:eastAsia="宋体" w:cs="Times New Roman"/>
                <w:i w:val="0"/>
                <w:color w:val="auto"/>
                <w:kern w:val="0"/>
                <w:sz w:val="24"/>
                <w:szCs w:val="24"/>
                <w:highlight w:val="none"/>
                <w:u w:val="none"/>
                <w:lang w:val="en-US" w:eastAsia="zh-CN" w:bidi="ar"/>
              </w:rPr>
              <w:t>5.744</w:t>
            </w:r>
            <w:r>
              <w:rPr>
                <w:rFonts w:hint="default" w:ascii="Times New Roman" w:hAnsi="Times New Roman" w:eastAsia="宋体" w:cs="Times New Roman"/>
                <w:i w:val="0"/>
                <w:color w:val="auto"/>
                <w:kern w:val="0"/>
                <w:sz w:val="24"/>
                <w:szCs w:val="24"/>
                <w:highlight w:val="none"/>
                <w:u w:val="none"/>
                <w:lang w:val="en-US" w:eastAsia="zh-CN" w:bidi="ar"/>
              </w:rPr>
              <w:t>公里，其中坡头段约</w:t>
            </w:r>
            <w:r>
              <w:rPr>
                <w:rFonts w:hint="eastAsia" w:ascii="Times New Roman" w:hAnsi="Times New Roman" w:eastAsia="宋体" w:cs="Times New Roman"/>
                <w:i w:val="0"/>
                <w:color w:val="auto"/>
                <w:kern w:val="0"/>
                <w:sz w:val="24"/>
                <w:szCs w:val="24"/>
                <w:highlight w:val="none"/>
                <w:u w:val="none"/>
                <w:lang w:val="en-US" w:eastAsia="zh-CN" w:bidi="ar"/>
              </w:rPr>
              <w:t>12</w:t>
            </w:r>
            <w:r>
              <w:rPr>
                <w:rFonts w:hint="default" w:ascii="Times New Roman" w:hAnsi="Times New Roman" w:eastAsia="宋体" w:cs="Times New Roman"/>
                <w:i w:val="0"/>
                <w:color w:val="auto"/>
                <w:kern w:val="0"/>
                <w:sz w:val="24"/>
                <w:szCs w:val="24"/>
                <w:highlight w:val="none"/>
                <w:u w:val="none"/>
                <w:lang w:val="en-US" w:eastAsia="zh-CN" w:bidi="ar"/>
              </w:rPr>
              <w:t>公里。（总投资：</w:t>
            </w:r>
            <w:r>
              <w:rPr>
                <w:rFonts w:hint="eastAsia" w:ascii="Times New Roman" w:hAnsi="Times New Roman" w:eastAsia="宋体" w:cs="Times New Roman"/>
                <w:i w:val="0"/>
                <w:color w:val="auto"/>
                <w:kern w:val="0"/>
                <w:sz w:val="24"/>
                <w:szCs w:val="24"/>
                <w:highlight w:val="none"/>
                <w:u w:val="none"/>
                <w:lang w:val="en-US" w:eastAsia="zh-CN" w:bidi="ar"/>
              </w:rPr>
              <w:t>308514</w:t>
            </w:r>
            <w:r>
              <w:rPr>
                <w:rFonts w:hint="default" w:ascii="Times New Roman" w:hAnsi="Times New Roman" w:eastAsia="宋体" w:cs="Times New Roman"/>
                <w:i w:val="0"/>
                <w:color w:val="auto"/>
                <w:kern w:val="0"/>
                <w:sz w:val="24"/>
                <w:szCs w:val="24"/>
                <w:highlight w:val="none"/>
                <w:u w:val="none"/>
                <w:lang w:val="en-US" w:eastAsia="zh-CN" w:bidi="ar"/>
              </w:rPr>
              <w:t>万元，坡头约占</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154257.00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154257.00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海川大道扩建工程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改扩建一级公路</w:t>
            </w:r>
            <w:r>
              <w:rPr>
                <w:rFonts w:hint="eastAsia" w:ascii="Times New Roman" w:hAnsi="Times New Roman" w:eastAsia="宋体" w:cs="Times New Roman"/>
                <w:i w:val="0"/>
                <w:color w:val="auto"/>
                <w:kern w:val="0"/>
                <w:sz w:val="24"/>
                <w:szCs w:val="24"/>
                <w:highlight w:val="none"/>
                <w:u w:val="none"/>
                <w:lang w:val="en-US" w:eastAsia="zh-CN" w:bidi="ar"/>
              </w:rPr>
              <w:t>10.848</w:t>
            </w:r>
            <w:r>
              <w:rPr>
                <w:rFonts w:hint="default" w:ascii="Times New Roman" w:hAnsi="Times New Roman" w:eastAsia="宋体" w:cs="Times New Roman"/>
                <w:i w:val="0"/>
                <w:color w:val="auto"/>
                <w:kern w:val="0"/>
                <w:sz w:val="24"/>
                <w:szCs w:val="24"/>
                <w:highlight w:val="none"/>
                <w:u w:val="none"/>
                <w:lang w:val="en-US" w:eastAsia="zh-CN" w:bidi="ar"/>
              </w:rPr>
              <w:t>公里，双向六、八车道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93311.00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93311.00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rPr>
            </w:pPr>
            <w:r>
              <w:rPr>
                <w:rFonts w:hint="eastAsia" w:ascii="Times New Roman" w:hAnsi="Times New Roman" w:eastAsia="宋体" w:cs="Times New Roman"/>
                <w:i w:val="0"/>
                <w:color w:val="auto"/>
                <w:kern w:val="0"/>
                <w:sz w:val="24"/>
                <w:szCs w:val="24"/>
                <w:highlight w:val="none"/>
                <w:u w:val="none"/>
                <w:lang w:val="en-US" w:eastAsia="zh-CN" w:bidi="ar"/>
              </w:rPr>
              <w:t>12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沈海高速公路茂湛段改扩建工程（湛江段）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改扩建高速公路</w:t>
            </w:r>
            <w:r>
              <w:rPr>
                <w:rFonts w:hint="eastAsia" w:ascii="Times New Roman" w:hAnsi="Times New Roman" w:eastAsia="宋体" w:cs="Times New Roman"/>
                <w:i w:val="0"/>
                <w:color w:val="auto"/>
                <w:kern w:val="0"/>
                <w:sz w:val="24"/>
                <w:szCs w:val="24"/>
                <w:highlight w:val="none"/>
                <w:u w:val="none"/>
                <w:lang w:val="en-US" w:eastAsia="zh-CN" w:bidi="ar"/>
              </w:rPr>
              <w:t>108.593</w:t>
            </w:r>
            <w:r>
              <w:rPr>
                <w:rFonts w:hint="default" w:ascii="Times New Roman" w:hAnsi="Times New Roman" w:eastAsia="宋体" w:cs="Times New Roman"/>
                <w:i w:val="0"/>
                <w:color w:val="auto"/>
                <w:kern w:val="0"/>
                <w:sz w:val="24"/>
                <w:szCs w:val="24"/>
                <w:highlight w:val="none"/>
                <w:u w:val="none"/>
                <w:lang w:val="en-US" w:eastAsia="zh-CN" w:bidi="ar"/>
              </w:rPr>
              <w:t>公里，其中湛江段</w:t>
            </w:r>
            <w:r>
              <w:rPr>
                <w:rFonts w:hint="eastAsia" w:ascii="Times New Roman" w:hAnsi="Times New Roman" w:eastAsia="宋体" w:cs="Times New Roman"/>
                <w:i w:val="0"/>
                <w:color w:val="auto"/>
                <w:kern w:val="0"/>
                <w:sz w:val="24"/>
                <w:szCs w:val="24"/>
                <w:highlight w:val="none"/>
                <w:u w:val="none"/>
                <w:lang w:val="en-US" w:eastAsia="zh-CN" w:bidi="ar"/>
              </w:rPr>
              <w:t>51.2</w:t>
            </w:r>
            <w:r>
              <w:rPr>
                <w:rFonts w:hint="default" w:ascii="Times New Roman" w:hAnsi="Times New Roman" w:eastAsia="宋体" w:cs="Times New Roman"/>
                <w:i w:val="0"/>
                <w:color w:val="auto"/>
                <w:kern w:val="0"/>
                <w:sz w:val="24"/>
                <w:szCs w:val="24"/>
                <w:highlight w:val="none"/>
                <w:u w:val="none"/>
                <w:lang w:val="en-US" w:eastAsia="zh-CN" w:bidi="ar"/>
              </w:rPr>
              <w:t>公里，高速公路，双向八车道，其中坡头区约</w:t>
            </w:r>
            <w:r>
              <w:rPr>
                <w:rFonts w:hint="eastAsia" w:ascii="Times New Roman" w:hAnsi="Times New Roman" w:eastAsia="宋体" w:cs="Times New Roman"/>
                <w:i w:val="0"/>
                <w:color w:val="auto"/>
                <w:kern w:val="0"/>
                <w:sz w:val="24"/>
                <w:szCs w:val="24"/>
                <w:highlight w:val="none"/>
                <w:u w:val="none"/>
                <w:lang w:val="en-US" w:eastAsia="zh-CN" w:bidi="ar"/>
              </w:rPr>
              <w:t>8.75</w:t>
            </w:r>
            <w:r>
              <w:rPr>
                <w:rFonts w:hint="default" w:ascii="Times New Roman" w:hAnsi="Times New Roman" w:eastAsia="宋体" w:cs="Times New Roman"/>
                <w:i w:val="0"/>
                <w:color w:val="auto"/>
                <w:kern w:val="0"/>
                <w:sz w:val="24"/>
                <w:szCs w:val="24"/>
                <w:highlight w:val="none"/>
                <w:u w:val="none"/>
                <w:lang w:val="en-US" w:eastAsia="zh-CN" w:bidi="ar"/>
              </w:rPr>
              <w:t>公里（总投资：</w:t>
            </w:r>
            <w:r>
              <w:rPr>
                <w:rFonts w:hint="eastAsia" w:ascii="Times New Roman" w:hAnsi="Times New Roman" w:eastAsia="宋体" w:cs="Times New Roman"/>
                <w:i w:val="0"/>
                <w:color w:val="auto"/>
                <w:kern w:val="0"/>
                <w:sz w:val="24"/>
                <w:szCs w:val="24"/>
                <w:highlight w:val="none"/>
                <w:u w:val="none"/>
                <w:lang w:val="en-US" w:eastAsia="zh-CN" w:bidi="ar"/>
              </w:rPr>
              <w:t>578445</w:t>
            </w:r>
            <w:r>
              <w:rPr>
                <w:rFonts w:hint="default" w:ascii="Times New Roman" w:hAnsi="Times New Roman" w:eastAsia="宋体" w:cs="Times New Roman"/>
                <w:i w:val="0"/>
                <w:color w:val="auto"/>
                <w:kern w:val="0"/>
                <w:sz w:val="24"/>
                <w:szCs w:val="24"/>
                <w:highlight w:val="none"/>
                <w:u w:val="none"/>
                <w:lang w:val="en-US" w:eastAsia="zh-CN" w:bidi="ar"/>
              </w:rPr>
              <w:t>万元，坡头约占</w:t>
            </w:r>
            <w:r>
              <w:rPr>
                <w:rFonts w:hint="eastAsia" w:ascii="Times New Roman" w:hAnsi="Times New Roman" w:eastAsia="宋体" w:cs="Times New Roman"/>
                <w:i w:val="0"/>
                <w:color w:val="auto"/>
                <w:kern w:val="0"/>
                <w:sz w:val="24"/>
                <w:szCs w:val="24"/>
                <w:highlight w:val="none"/>
                <w:u w:val="none"/>
                <w:lang w:val="en-US" w:eastAsia="zh-CN" w:bidi="ar"/>
              </w:rPr>
              <w:t>8%</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46275.60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46275.60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lang w:val="en-US"/>
              </w:rPr>
            </w:pPr>
            <w:r>
              <w:rPr>
                <w:rFonts w:hint="eastAsia" w:ascii="Times New Roman" w:hAnsi="Times New Roman" w:eastAsia="宋体" w:cs="Times New Roman"/>
                <w:i w:val="0"/>
                <w:color w:val="auto"/>
                <w:kern w:val="0"/>
                <w:sz w:val="24"/>
                <w:szCs w:val="24"/>
                <w:highlight w:val="none"/>
                <w:u w:val="none"/>
                <w:lang w:val="en-US" w:eastAsia="zh-CN" w:bidi="ar"/>
              </w:rPr>
              <w:t>13</w:t>
            </w:r>
          </w:p>
        </w:tc>
        <w:tc>
          <w:tcPr>
            <w:tcW w:w="120" w:type="pct"/>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i w:val="0"/>
                <w:color w:val="auto"/>
                <w:kern w:val="2"/>
                <w:sz w:val="24"/>
                <w:szCs w:val="24"/>
                <w:highlight w:val="none"/>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i w:val="0"/>
                <w:color w:val="auto"/>
                <w:kern w:val="2"/>
                <w:sz w:val="24"/>
                <w:szCs w:val="24"/>
                <w:highlight w:val="none"/>
                <w:u w:val="none"/>
                <w:lang w:val="en-US" w:eastAsia="zh-CN" w:bidi="ar-SA"/>
              </w:rPr>
            </w:pPr>
            <w:r>
              <w:rPr>
                <w:rFonts w:hint="eastAsia" w:eastAsia="宋体" w:cs="Times New Roman"/>
                <w:i w:val="0"/>
                <w:color w:val="auto"/>
                <w:kern w:val="2"/>
                <w:sz w:val="24"/>
                <w:szCs w:val="24"/>
                <w:highlight w:val="none"/>
                <w:u w:val="none"/>
                <w:lang w:val="en-US" w:eastAsia="zh-CN" w:bidi="ar-SA"/>
              </w:rPr>
              <w:t>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i w:val="0"/>
                <w:color w:val="auto"/>
                <w:kern w:val="2"/>
                <w:sz w:val="24"/>
                <w:szCs w:val="24"/>
                <w:highlight w:val="none"/>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i w:val="0"/>
                <w:color w:val="auto"/>
                <w:kern w:val="2"/>
                <w:sz w:val="24"/>
                <w:szCs w:val="24"/>
                <w:highlight w:val="none"/>
                <w:u w:val="none"/>
                <w:lang w:val="en-US" w:eastAsia="zh-CN" w:bidi="ar-SA"/>
              </w:rPr>
            </w:pPr>
            <w:r>
              <w:rPr>
                <w:rFonts w:hint="eastAsia" w:eastAsia="宋体" w:cs="Times New Roman"/>
                <w:i w:val="0"/>
                <w:color w:val="auto"/>
                <w:kern w:val="2"/>
                <w:sz w:val="24"/>
                <w:szCs w:val="24"/>
                <w:highlight w:val="none"/>
                <w:u w:val="none"/>
                <w:lang w:val="en-US" w:eastAsia="zh-CN" w:bidi="ar-SA"/>
              </w:rPr>
              <w:t>好</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i w:val="0"/>
                <w:color w:val="auto"/>
                <w:kern w:val="2"/>
                <w:sz w:val="24"/>
                <w:szCs w:val="24"/>
                <w:highlight w:val="none"/>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eastAsia="宋体" w:cs="Times New Roman"/>
                <w:i w:val="0"/>
                <w:color w:val="auto"/>
                <w:kern w:val="2"/>
                <w:sz w:val="24"/>
                <w:szCs w:val="24"/>
                <w:highlight w:val="none"/>
                <w:u w:val="none"/>
                <w:lang w:val="en-US" w:eastAsia="zh-CN" w:bidi="ar-SA"/>
              </w:rPr>
              <w:t>公</w:t>
            </w: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坡头区南三镇县道</w:t>
            </w:r>
            <w:r>
              <w:rPr>
                <w:rFonts w:hint="eastAsia" w:ascii="Times New Roman" w:hAnsi="Times New Roman" w:eastAsia="宋体" w:cs="Times New Roman"/>
                <w:i w:val="0"/>
                <w:color w:val="auto"/>
                <w:kern w:val="0"/>
                <w:sz w:val="24"/>
                <w:szCs w:val="24"/>
                <w:highlight w:val="none"/>
                <w:u w:val="none"/>
                <w:lang w:val="en-US" w:eastAsia="zh-CN" w:bidi="ar"/>
              </w:rPr>
              <w:t>X809</w:t>
            </w:r>
            <w:r>
              <w:rPr>
                <w:rFonts w:hint="default" w:ascii="Times New Roman" w:hAnsi="Times New Roman" w:eastAsia="宋体" w:cs="Times New Roman"/>
                <w:i w:val="0"/>
                <w:color w:val="auto"/>
                <w:kern w:val="0"/>
                <w:sz w:val="24"/>
                <w:szCs w:val="24"/>
                <w:highlight w:val="none"/>
                <w:u w:val="none"/>
                <w:lang w:val="en-US" w:eastAsia="zh-CN" w:bidi="ar"/>
              </w:rPr>
              <w:t>灯光线路面升级改造工程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12.625</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8.0M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7M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5050.00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5050.00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4"/>
                <w:szCs w:val="24"/>
                <w:highlight w:val="none"/>
                <w:u w:val="none"/>
                <w:lang w:val="en-US"/>
              </w:rPr>
            </w:pPr>
            <w:r>
              <w:rPr>
                <w:rFonts w:hint="eastAsia" w:ascii="Times New Roman" w:hAnsi="Times New Roman" w:eastAsia="宋体" w:cs="Times New Roman"/>
                <w:i w:val="0"/>
                <w:color w:val="auto"/>
                <w:kern w:val="0"/>
                <w:sz w:val="24"/>
                <w:szCs w:val="24"/>
                <w:highlight w:val="none"/>
                <w:u w:val="none"/>
                <w:lang w:val="en-US" w:eastAsia="zh-CN" w:bidi="ar"/>
              </w:rPr>
              <w:t>14</w:t>
            </w:r>
          </w:p>
        </w:tc>
        <w:tc>
          <w:tcPr>
            <w:tcW w:w="120" w:type="pct"/>
            <w:vMerge w:val="continue"/>
            <w:tcBorders>
              <w:left w:val="single" w:color="000000" w:sz="4" w:space="0"/>
              <w:bottom w:val="nil"/>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坡头区坡头镇县道</w:t>
            </w:r>
            <w:r>
              <w:rPr>
                <w:rFonts w:hint="eastAsia" w:ascii="Times New Roman" w:hAnsi="Times New Roman" w:eastAsia="宋体" w:cs="Times New Roman"/>
                <w:i w:val="0"/>
                <w:color w:val="auto"/>
                <w:kern w:val="0"/>
                <w:sz w:val="24"/>
                <w:szCs w:val="24"/>
                <w:highlight w:val="none"/>
                <w:u w:val="none"/>
                <w:lang w:val="en-US" w:eastAsia="zh-CN" w:bidi="ar"/>
              </w:rPr>
              <w:t>X665</w:t>
            </w:r>
            <w:r>
              <w:rPr>
                <w:rFonts w:hint="default" w:ascii="Times New Roman" w:hAnsi="Times New Roman" w:eastAsia="宋体" w:cs="Times New Roman"/>
                <w:i w:val="0"/>
                <w:color w:val="auto"/>
                <w:kern w:val="0"/>
                <w:sz w:val="24"/>
                <w:szCs w:val="24"/>
                <w:highlight w:val="none"/>
                <w:u w:val="none"/>
                <w:lang w:val="en-US" w:eastAsia="zh-CN" w:bidi="ar"/>
              </w:rPr>
              <w:t>乾平线路面升级改造工程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4.95</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12M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2211.77</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2211.77</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15</w:t>
            </w:r>
          </w:p>
        </w:tc>
        <w:tc>
          <w:tcPr>
            <w:tcW w:w="120" w:type="pct"/>
            <w:vMerge w:val="restart"/>
            <w:tcBorders>
              <w:top w:val="nil"/>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eastAsia="宋体" w:cs="Times New Roman"/>
                <w:i w:val="0"/>
                <w:color w:val="auto"/>
                <w:kern w:val="2"/>
                <w:sz w:val="24"/>
                <w:szCs w:val="24"/>
                <w:highlight w:val="none"/>
                <w:u w:val="none"/>
                <w:lang w:val="en-US" w:eastAsia="zh-CN" w:bidi="ar-SA"/>
              </w:rPr>
              <w:t>路</w:t>
            </w:r>
          </w:p>
        </w:tc>
        <w:tc>
          <w:tcPr>
            <w:tcW w:w="816" w:type="pct"/>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坡头区县道</w:t>
            </w:r>
            <w:r>
              <w:rPr>
                <w:rFonts w:hint="eastAsia" w:ascii="Times New Roman" w:hAnsi="Times New Roman" w:eastAsia="宋体" w:cs="Times New Roman"/>
                <w:i w:val="0"/>
                <w:color w:val="auto"/>
                <w:kern w:val="0"/>
                <w:sz w:val="24"/>
                <w:szCs w:val="24"/>
                <w:highlight w:val="none"/>
                <w:u w:val="none"/>
                <w:lang w:val="en-US" w:eastAsia="zh-CN" w:bidi="ar"/>
              </w:rPr>
              <w:t>X665</w:t>
            </w:r>
            <w:r>
              <w:rPr>
                <w:rFonts w:hint="default" w:ascii="Times New Roman" w:hAnsi="Times New Roman" w:eastAsia="宋体" w:cs="Times New Roman"/>
                <w:i w:val="0"/>
                <w:color w:val="auto"/>
                <w:kern w:val="0"/>
                <w:sz w:val="24"/>
                <w:szCs w:val="24"/>
                <w:highlight w:val="none"/>
                <w:u w:val="none"/>
                <w:lang w:val="en-US" w:eastAsia="zh-CN" w:bidi="ar"/>
              </w:rPr>
              <w:t>乾平线（坡头镇至乾塘镇段）路面升级改造工程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31.279</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12511.00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12511.00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16</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坡头区南三镇县道</w:t>
            </w:r>
            <w:r>
              <w:rPr>
                <w:rFonts w:hint="eastAsia" w:ascii="Times New Roman" w:hAnsi="Times New Roman" w:eastAsia="宋体" w:cs="Times New Roman"/>
                <w:i w:val="0"/>
                <w:color w:val="auto"/>
                <w:kern w:val="0"/>
                <w:sz w:val="24"/>
                <w:szCs w:val="24"/>
                <w:highlight w:val="none"/>
                <w:u w:val="none"/>
                <w:lang w:val="en-US" w:eastAsia="zh-CN" w:bidi="ar"/>
              </w:rPr>
              <w:t>X817</w:t>
            </w:r>
            <w:r>
              <w:rPr>
                <w:rFonts w:hint="default" w:ascii="Times New Roman" w:hAnsi="Times New Roman" w:eastAsia="宋体" w:cs="Times New Roman"/>
                <w:i w:val="0"/>
                <w:color w:val="auto"/>
                <w:kern w:val="0"/>
                <w:sz w:val="24"/>
                <w:szCs w:val="24"/>
                <w:highlight w:val="none"/>
                <w:u w:val="none"/>
                <w:lang w:val="en-US" w:eastAsia="zh-CN" w:bidi="ar"/>
              </w:rPr>
              <w:t>北灯线路面升级改造工程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15.165</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9M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6066.00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6066.00</w:t>
            </w:r>
          </w:p>
        </w:tc>
      </w:tr>
      <w:tr>
        <w:tblPrEx>
          <w:tblCellMar>
            <w:top w:w="0" w:type="dxa"/>
            <w:left w:w="0" w:type="dxa"/>
            <w:bottom w:w="0" w:type="dxa"/>
            <w:right w:w="0" w:type="dxa"/>
          </w:tblCellMar>
        </w:tblPrEx>
        <w:trPr>
          <w:trHeight w:val="390" w:hRule="atLeast"/>
          <w:jc w:val="center"/>
        </w:trPr>
        <w:tc>
          <w:tcPr>
            <w:tcW w:w="249" w:type="pct"/>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17</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坡头区龙头镇县道</w:t>
            </w:r>
            <w:r>
              <w:rPr>
                <w:rFonts w:hint="eastAsia" w:ascii="Times New Roman" w:hAnsi="Times New Roman" w:eastAsia="宋体" w:cs="Times New Roman"/>
                <w:i w:val="0"/>
                <w:color w:val="auto"/>
                <w:kern w:val="0"/>
                <w:sz w:val="24"/>
                <w:szCs w:val="24"/>
                <w:highlight w:val="none"/>
                <w:u w:val="none"/>
                <w:lang w:val="en-US" w:eastAsia="zh-CN" w:bidi="ar"/>
              </w:rPr>
              <w:t>X807</w:t>
            </w:r>
            <w:r>
              <w:rPr>
                <w:rFonts w:hint="default" w:ascii="Times New Roman" w:hAnsi="Times New Roman" w:eastAsia="宋体" w:cs="Times New Roman"/>
                <w:i w:val="0"/>
                <w:color w:val="auto"/>
                <w:kern w:val="0"/>
                <w:sz w:val="24"/>
                <w:szCs w:val="24"/>
                <w:highlight w:val="none"/>
                <w:u w:val="none"/>
                <w:lang w:val="en-US" w:eastAsia="zh-CN" w:bidi="ar"/>
              </w:rPr>
              <w:t>米新线路面升级改造工程</w:t>
            </w:r>
          </w:p>
        </w:tc>
        <w:tc>
          <w:tcPr>
            <w:tcW w:w="1763" w:type="pc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23.454</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10M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9381.00</w:t>
            </w:r>
          </w:p>
        </w:tc>
        <w:tc>
          <w:tcPr>
            <w:tcW w:w="551" w:type="pc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9381.00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18</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坡头区南调街县道</w:t>
            </w:r>
            <w:r>
              <w:rPr>
                <w:rFonts w:hint="eastAsia" w:ascii="Times New Roman" w:hAnsi="Times New Roman" w:eastAsia="宋体" w:cs="Times New Roman"/>
                <w:i w:val="0"/>
                <w:color w:val="auto"/>
                <w:kern w:val="0"/>
                <w:sz w:val="24"/>
                <w:szCs w:val="24"/>
                <w:highlight w:val="none"/>
                <w:u w:val="none"/>
                <w:lang w:val="en-US" w:eastAsia="zh-CN" w:bidi="ar"/>
              </w:rPr>
              <w:t>X814</w:t>
            </w:r>
            <w:r>
              <w:rPr>
                <w:rFonts w:hint="default" w:ascii="Times New Roman" w:hAnsi="Times New Roman" w:eastAsia="宋体" w:cs="Times New Roman"/>
                <w:i w:val="0"/>
                <w:color w:val="auto"/>
                <w:kern w:val="0"/>
                <w:sz w:val="24"/>
                <w:szCs w:val="24"/>
                <w:highlight w:val="none"/>
                <w:u w:val="none"/>
                <w:lang w:val="en-US" w:eastAsia="zh-CN" w:bidi="ar"/>
              </w:rPr>
              <w:t>南调至坡头路面升级改造工程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6.153</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11M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2461.00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2461.00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19</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坡头区官渡镇县道</w:t>
            </w:r>
            <w:r>
              <w:rPr>
                <w:rFonts w:hint="eastAsia" w:ascii="Times New Roman" w:hAnsi="Times New Roman" w:eastAsia="宋体" w:cs="Times New Roman"/>
                <w:i w:val="0"/>
                <w:color w:val="auto"/>
                <w:kern w:val="0"/>
                <w:sz w:val="24"/>
                <w:szCs w:val="24"/>
                <w:highlight w:val="none"/>
                <w:u w:val="none"/>
                <w:lang w:val="en-US" w:eastAsia="zh-CN" w:bidi="ar"/>
              </w:rPr>
              <w:t>X672</w:t>
            </w:r>
            <w:r>
              <w:rPr>
                <w:rFonts w:hint="default" w:ascii="Times New Roman" w:hAnsi="Times New Roman" w:eastAsia="宋体" w:cs="Times New Roman"/>
                <w:i w:val="0"/>
                <w:color w:val="auto"/>
                <w:kern w:val="0"/>
                <w:sz w:val="24"/>
                <w:szCs w:val="24"/>
                <w:highlight w:val="none"/>
                <w:u w:val="none"/>
                <w:lang w:val="en-US" w:eastAsia="zh-CN" w:bidi="ar"/>
              </w:rPr>
              <w:t>官北线路面升级改造工程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6.077</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12M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2430.00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2430.00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20</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坡头区龙头镇县道</w:t>
            </w:r>
            <w:r>
              <w:rPr>
                <w:rFonts w:hint="eastAsia" w:ascii="Times New Roman" w:hAnsi="Times New Roman" w:eastAsia="宋体" w:cs="Times New Roman"/>
                <w:i w:val="0"/>
                <w:color w:val="auto"/>
                <w:kern w:val="0"/>
                <w:sz w:val="24"/>
                <w:szCs w:val="24"/>
                <w:highlight w:val="none"/>
                <w:u w:val="none"/>
                <w:lang w:val="en-US" w:eastAsia="zh-CN" w:bidi="ar"/>
              </w:rPr>
              <w:t>X808</w:t>
            </w:r>
            <w:r>
              <w:rPr>
                <w:rFonts w:hint="default" w:ascii="Times New Roman" w:hAnsi="Times New Roman" w:eastAsia="宋体" w:cs="Times New Roman"/>
                <w:i w:val="0"/>
                <w:color w:val="auto"/>
                <w:kern w:val="0"/>
                <w:sz w:val="24"/>
                <w:szCs w:val="24"/>
                <w:highlight w:val="none"/>
                <w:u w:val="none"/>
                <w:lang w:val="en-US" w:eastAsia="zh-CN" w:bidi="ar"/>
              </w:rPr>
              <w:t>上莫线路面升级改造工程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10.47</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13M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4188.00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4188.00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21</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坡头区南三镇县道</w:t>
            </w:r>
            <w:r>
              <w:rPr>
                <w:rFonts w:hint="eastAsia" w:ascii="Times New Roman" w:hAnsi="Times New Roman" w:eastAsia="宋体" w:cs="Times New Roman"/>
                <w:i w:val="0"/>
                <w:color w:val="auto"/>
                <w:kern w:val="0"/>
                <w:sz w:val="24"/>
                <w:szCs w:val="24"/>
                <w:highlight w:val="none"/>
                <w:u w:val="none"/>
                <w:lang w:val="en-US" w:eastAsia="zh-CN" w:bidi="ar"/>
              </w:rPr>
              <w:t>X815</w:t>
            </w:r>
            <w:r>
              <w:rPr>
                <w:rFonts w:hint="default" w:ascii="Times New Roman" w:hAnsi="Times New Roman" w:eastAsia="宋体" w:cs="Times New Roman"/>
                <w:i w:val="0"/>
                <w:color w:val="auto"/>
                <w:kern w:val="0"/>
                <w:sz w:val="24"/>
                <w:szCs w:val="24"/>
                <w:highlight w:val="none"/>
                <w:u w:val="none"/>
                <w:lang w:val="en-US" w:eastAsia="zh-CN" w:bidi="ar"/>
              </w:rPr>
              <w:t>淡霞线路面升级改造工程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8.493</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14M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3397.00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3397.00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22</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auto"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坡头区南三镇县道</w:t>
            </w:r>
            <w:r>
              <w:rPr>
                <w:rFonts w:hint="eastAsia" w:ascii="Times New Roman" w:hAnsi="Times New Roman" w:eastAsia="宋体" w:cs="Times New Roman"/>
                <w:i w:val="0"/>
                <w:color w:val="auto"/>
                <w:kern w:val="0"/>
                <w:sz w:val="24"/>
                <w:szCs w:val="24"/>
                <w:highlight w:val="none"/>
                <w:u w:val="none"/>
                <w:lang w:val="en-US" w:eastAsia="zh-CN" w:bidi="ar"/>
              </w:rPr>
              <w:t>X816</w:t>
            </w:r>
            <w:r>
              <w:rPr>
                <w:rFonts w:hint="default" w:ascii="Times New Roman" w:hAnsi="Times New Roman" w:eastAsia="宋体" w:cs="Times New Roman"/>
                <w:i w:val="0"/>
                <w:color w:val="auto"/>
                <w:kern w:val="0"/>
                <w:sz w:val="24"/>
                <w:szCs w:val="24"/>
                <w:highlight w:val="none"/>
                <w:u w:val="none"/>
                <w:lang w:val="en-US" w:eastAsia="zh-CN" w:bidi="ar"/>
              </w:rPr>
              <w:t>田海线路面升级改造工程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13.697</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15M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5478.00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5478.00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23</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坡头区龙头镇乡道</w:t>
            </w:r>
            <w:r>
              <w:rPr>
                <w:rFonts w:hint="eastAsia" w:ascii="Times New Roman" w:hAnsi="Times New Roman" w:eastAsia="宋体" w:cs="Times New Roman"/>
                <w:i w:val="0"/>
                <w:color w:val="auto"/>
                <w:kern w:val="0"/>
                <w:sz w:val="24"/>
                <w:szCs w:val="24"/>
                <w:highlight w:val="none"/>
                <w:u w:val="none"/>
                <w:lang w:val="en-US" w:eastAsia="zh-CN" w:bidi="ar"/>
              </w:rPr>
              <w:t>Y444</w:t>
            </w:r>
            <w:r>
              <w:rPr>
                <w:rFonts w:hint="default" w:ascii="Times New Roman" w:hAnsi="Times New Roman" w:eastAsia="宋体" w:cs="Times New Roman"/>
                <w:i w:val="0"/>
                <w:color w:val="auto"/>
                <w:kern w:val="0"/>
                <w:sz w:val="24"/>
                <w:szCs w:val="24"/>
                <w:highlight w:val="none"/>
                <w:u w:val="none"/>
                <w:lang w:val="en-US" w:eastAsia="zh-CN" w:bidi="ar"/>
              </w:rPr>
              <w:t>线路面升级改造工程（后头-油麻涌段）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16M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24</w:t>
            </w:r>
          </w:p>
        </w:tc>
        <w:tc>
          <w:tcPr>
            <w:tcW w:w="120" w:type="pct"/>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816" w:type="pct"/>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坡头区坡头镇乡道</w:t>
            </w:r>
            <w:r>
              <w:rPr>
                <w:rFonts w:hint="eastAsia" w:ascii="Times New Roman" w:hAnsi="Times New Roman" w:eastAsia="宋体" w:cs="Times New Roman"/>
                <w:i w:val="0"/>
                <w:color w:val="auto"/>
                <w:kern w:val="0"/>
                <w:sz w:val="24"/>
                <w:szCs w:val="24"/>
                <w:highlight w:val="none"/>
                <w:u w:val="none"/>
                <w:lang w:val="en-US" w:eastAsia="zh-CN" w:bidi="ar"/>
              </w:rPr>
              <w:t>Y121</w:t>
            </w:r>
            <w:r>
              <w:rPr>
                <w:rFonts w:hint="default" w:ascii="Times New Roman" w:hAnsi="Times New Roman" w:eastAsia="宋体" w:cs="Times New Roman"/>
                <w:i w:val="0"/>
                <w:color w:val="auto"/>
                <w:kern w:val="0"/>
                <w:sz w:val="24"/>
                <w:szCs w:val="24"/>
                <w:highlight w:val="none"/>
                <w:u w:val="none"/>
                <w:lang w:val="en-US" w:eastAsia="zh-CN" w:bidi="ar"/>
              </w:rPr>
              <w:t>线路面升级改造工程（五合-梧村村委会）</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3.8</w:t>
            </w:r>
            <w:r>
              <w:rPr>
                <w:rFonts w:hint="default" w:ascii="Times New Roman" w:hAnsi="Times New Roman" w:eastAsia="宋体" w:cs="Times New Roman"/>
                <w:i w:val="0"/>
                <w:color w:val="auto"/>
                <w:kern w:val="0"/>
                <w:sz w:val="24"/>
                <w:szCs w:val="24"/>
                <w:highlight w:val="none"/>
                <w:u w:val="none"/>
                <w:lang w:val="en-US" w:eastAsia="zh-CN" w:bidi="ar"/>
              </w:rPr>
              <w:t>公里，改造后采用三级公路标准，设计速度</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，路基标准横断面宽</w:t>
            </w:r>
            <w:r>
              <w:rPr>
                <w:rFonts w:hint="eastAsia" w:ascii="Times New Roman" w:hAnsi="Times New Roman" w:eastAsia="宋体" w:cs="Times New Roman"/>
                <w:i w:val="0"/>
                <w:color w:val="auto"/>
                <w:kern w:val="0"/>
                <w:sz w:val="24"/>
                <w:szCs w:val="24"/>
                <w:highlight w:val="none"/>
                <w:u w:val="none"/>
                <w:lang w:val="en-US" w:eastAsia="zh-CN" w:bidi="ar"/>
              </w:rPr>
              <w:t>8M</w:t>
            </w:r>
            <w:r>
              <w:rPr>
                <w:rFonts w:hint="default" w:ascii="Times New Roman" w:hAnsi="Times New Roman" w:eastAsia="宋体" w:cs="Times New Roman"/>
                <w:i w:val="0"/>
                <w:color w:val="auto"/>
                <w:kern w:val="0"/>
                <w:sz w:val="24"/>
                <w:szCs w:val="24"/>
                <w:highlight w:val="none"/>
                <w:u w:val="none"/>
                <w:lang w:val="en-US" w:eastAsia="zh-CN" w:bidi="ar"/>
              </w:rPr>
              <w:t>（路面标准宽</w:t>
            </w:r>
            <w:r>
              <w:rPr>
                <w:rFonts w:hint="eastAsia" w:ascii="Times New Roman" w:hAnsi="Times New Roman" w:eastAsia="宋体" w:cs="Times New Roman"/>
                <w:i w:val="0"/>
                <w:color w:val="auto"/>
                <w:kern w:val="0"/>
                <w:sz w:val="24"/>
                <w:szCs w:val="24"/>
                <w:highlight w:val="none"/>
                <w:u w:val="none"/>
                <w:lang w:val="en-US" w:eastAsia="zh-CN" w:bidi="ar"/>
              </w:rPr>
              <w:t>17M</w:t>
            </w:r>
            <w:r>
              <w:rPr>
                <w:rFonts w:hint="default" w:ascii="Times New Roman" w:hAnsi="Times New Roman" w:eastAsia="宋体" w:cs="Times New Roman"/>
                <w:i w:val="0"/>
                <w:color w:val="auto"/>
                <w:kern w:val="0"/>
                <w:sz w:val="24"/>
                <w:szCs w:val="24"/>
                <w:highlight w:val="none"/>
                <w:u w:val="none"/>
                <w:lang w:val="en-US" w:eastAsia="zh-CN" w:bidi="ar"/>
              </w:rPr>
              <w:t>），双向两车道</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870.00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870.00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坡头区瑶贯新垉基础设施配套建设项目（军民路、海韵路、军民一横路）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其中包括军民路红线长约</w:t>
            </w:r>
            <w:r>
              <w:rPr>
                <w:rStyle w:val="83"/>
                <w:rFonts w:hint="eastAsia" w:ascii="Times New Roman" w:hAnsi="Times New Roman" w:eastAsia="宋体" w:cs="Times New Roman"/>
                <w:color w:val="auto"/>
                <w:sz w:val="24"/>
                <w:szCs w:val="24"/>
                <w:highlight w:val="none"/>
                <w:lang w:val="en-US" w:eastAsia="zh-CN" w:bidi="ar"/>
              </w:rPr>
              <w:t>806</w:t>
            </w:r>
            <w:r>
              <w:rPr>
                <w:rStyle w:val="83"/>
                <w:rFonts w:hint="default" w:ascii="Times New Roman" w:hAnsi="Times New Roman" w:eastAsia="宋体" w:cs="Times New Roman"/>
                <w:color w:val="auto"/>
                <w:sz w:val="24"/>
                <w:szCs w:val="24"/>
                <w:highlight w:val="none"/>
                <w:lang w:val="en-US" w:eastAsia="zh-CN" w:bidi="ar"/>
              </w:rPr>
              <w:t>米，宽</w:t>
            </w:r>
            <w:r>
              <w:rPr>
                <w:rStyle w:val="83"/>
                <w:rFonts w:hint="eastAsia" w:ascii="Times New Roman" w:hAnsi="Times New Roman" w:eastAsia="宋体" w:cs="Times New Roman"/>
                <w:color w:val="auto"/>
                <w:sz w:val="24"/>
                <w:szCs w:val="24"/>
                <w:highlight w:val="none"/>
                <w:lang w:val="en-US" w:eastAsia="zh-CN" w:bidi="ar"/>
              </w:rPr>
              <w:t>36</w:t>
            </w:r>
            <w:r>
              <w:rPr>
                <w:rStyle w:val="83"/>
                <w:rFonts w:hint="default" w:ascii="Times New Roman" w:hAnsi="Times New Roman" w:eastAsia="宋体" w:cs="Times New Roman"/>
                <w:color w:val="auto"/>
                <w:sz w:val="24"/>
                <w:szCs w:val="24"/>
                <w:highlight w:val="none"/>
                <w:lang w:val="en-US" w:eastAsia="zh-CN" w:bidi="ar"/>
              </w:rPr>
              <w:t>米；海韵路红线长约</w:t>
            </w:r>
            <w:r>
              <w:rPr>
                <w:rStyle w:val="83"/>
                <w:rFonts w:hint="eastAsia" w:ascii="Times New Roman" w:hAnsi="Times New Roman" w:eastAsia="宋体" w:cs="Times New Roman"/>
                <w:color w:val="auto"/>
                <w:sz w:val="24"/>
                <w:szCs w:val="24"/>
                <w:highlight w:val="none"/>
                <w:lang w:val="en-US" w:eastAsia="zh-CN" w:bidi="ar"/>
              </w:rPr>
              <w:t>836</w:t>
            </w:r>
            <w:r>
              <w:rPr>
                <w:rStyle w:val="83"/>
                <w:rFonts w:hint="default" w:ascii="Times New Roman" w:hAnsi="Times New Roman" w:eastAsia="宋体" w:cs="Times New Roman"/>
                <w:color w:val="auto"/>
                <w:sz w:val="24"/>
                <w:szCs w:val="24"/>
                <w:highlight w:val="none"/>
                <w:lang w:val="en-US" w:eastAsia="zh-CN" w:bidi="ar"/>
              </w:rPr>
              <w:t>米，宽</w:t>
            </w:r>
            <w:r>
              <w:rPr>
                <w:rStyle w:val="83"/>
                <w:rFonts w:hint="eastAsia" w:ascii="Times New Roman" w:hAnsi="Times New Roman" w:eastAsia="宋体" w:cs="Times New Roman"/>
                <w:color w:val="auto"/>
                <w:sz w:val="24"/>
                <w:szCs w:val="24"/>
                <w:highlight w:val="none"/>
                <w:lang w:val="en-US" w:eastAsia="zh-CN" w:bidi="ar"/>
              </w:rPr>
              <w:t>18</w:t>
            </w:r>
            <w:r>
              <w:rPr>
                <w:rStyle w:val="83"/>
                <w:rFonts w:hint="default" w:ascii="Times New Roman" w:hAnsi="Times New Roman" w:eastAsia="宋体" w:cs="Times New Roman"/>
                <w:color w:val="auto"/>
                <w:sz w:val="24"/>
                <w:szCs w:val="24"/>
                <w:highlight w:val="none"/>
                <w:lang w:val="en-US" w:eastAsia="zh-CN" w:bidi="ar"/>
              </w:rPr>
              <w:t>米；军民一横路红线长约</w:t>
            </w:r>
            <w:r>
              <w:rPr>
                <w:rStyle w:val="83"/>
                <w:rFonts w:hint="eastAsia" w:ascii="Times New Roman" w:hAnsi="Times New Roman" w:eastAsia="宋体" w:cs="Times New Roman"/>
                <w:color w:val="auto"/>
                <w:sz w:val="24"/>
                <w:szCs w:val="24"/>
                <w:highlight w:val="none"/>
                <w:lang w:val="en-US" w:eastAsia="zh-CN" w:bidi="ar"/>
              </w:rPr>
              <w:t>283</w:t>
            </w:r>
            <w:r>
              <w:rPr>
                <w:rStyle w:val="83"/>
                <w:rFonts w:hint="default" w:ascii="Times New Roman" w:hAnsi="Times New Roman" w:eastAsia="宋体" w:cs="Times New Roman"/>
                <w:color w:val="auto"/>
                <w:sz w:val="24"/>
                <w:szCs w:val="24"/>
                <w:highlight w:val="none"/>
                <w:lang w:val="en-US" w:eastAsia="zh-CN" w:bidi="ar"/>
              </w:rPr>
              <w:t>米，宽</w:t>
            </w:r>
            <w:r>
              <w:rPr>
                <w:rStyle w:val="83"/>
                <w:rFonts w:hint="eastAsia" w:ascii="Times New Roman" w:hAnsi="Times New Roman" w:eastAsia="宋体" w:cs="Times New Roman"/>
                <w:color w:val="auto"/>
                <w:sz w:val="24"/>
                <w:szCs w:val="24"/>
                <w:highlight w:val="none"/>
                <w:lang w:val="en-US" w:eastAsia="zh-CN" w:bidi="ar"/>
              </w:rPr>
              <w:t>18</w:t>
            </w:r>
            <w:r>
              <w:rPr>
                <w:rStyle w:val="83"/>
                <w:rFonts w:hint="default" w:ascii="Times New Roman" w:hAnsi="Times New Roman" w:eastAsia="宋体" w:cs="Times New Roman"/>
                <w:color w:val="auto"/>
                <w:sz w:val="24"/>
                <w:szCs w:val="24"/>
                <w:highlight w:val="none"/>
                <w:lang w:val="en-US" w:eastAsia="zh-CN" w:bidi="ar"/>
              </w:rPr>
              <w:t>米；道路工程、排水工程、交通工程、照明工程、绿化工程、排污工程。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14822</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14822</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东盛大道（南调路至荣昌路段）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北起南调路，南至荣昌路，长约</w:t>
            </w:r>
            <w:r>
              <w:rPr>
                <w:rFonts w:hint="eastAsia" w:ascii="Times New Roman" w:hAnsi="Times New Roman" w:eastAsia="宋体" w:cs="Times New Roman"/>
                <w:i w:val="0"/>
                <w:color w:val="auto"/>
                <w:kern w:val="0"/>
                <w:sz w:val="24"/>
                <w:szCs w:val="24"/>
                <w:highlight w:val="none"/>
                <w:u w:val="none"/>
                <w:lang w:val="en-US" w:eastAsia="zh-CN" w:bidi="ar"/>
              </w:rPr>
              <w:t>652.37</w:t>
            </w:r>
            <w:r>
              <w:rPr>
                <w:rFonts w:hint="default" w:ascii="Times New Roman" w:hAnsi="Times New Roman" w:eastAsia="宋体" w:cs="Times New Roman"/>
                <w:i w:val="0"/>
                <w:color w:val="auto"/>
                <w:kern w:val="0"/>
                <w:sz w:val="24"/>
                <w:szCs w:val="24"/>
                <w:highlight w:val="none"/>
                <w:u w:val="none"/>
                <w:lang w:val="en-US" w:eastAsia="zh-CN" w:bidi="ar"/>
              </w:rPr>
              <w:t>米，道路红线宽度</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3200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3200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荣昌路（灯塔路至东祥大道段）</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长约</w:t>
            </w:r>
            <w:r>
              <w:rPr>
                <w:rFonts w:hint="eastAsia" w:ascii="Times New Roman" w:hAnsi="Times New Roman" w:eastAsia="宋体" w:cs="Times New Roman"/>
                <w:i w:val="0"/>
                <w:color w:val="auto"/>
                <w:kern w:val="0"/>
                <w:sz w:val="24"/>
                <w:szCs w:val="24"/>
                <w:highlight w:val="none"/>
                <w:u w:val="none"/>
                <w:lang w:val="en-US" w:eastAsia="zh-CN" w:bidi="ar"/>
              </w:rPr>
              <w:t>1363</w:t>
            </w:r>
            <w:r>
              <w:rPr>
                <w:rFonts w:hint="default" w:ascii="Times New Roman" w:hAnsi="Times New Roman" w:eastAsia="宋体" w:cs="Times New Roman"/>
                <w:i w:val="0"/>
                <w:color w:val="auto"/>
                <w:kern w:val="0"/>
                <w:sz w:val="24"/>
                <w:szCs w:val="24"/>
                <w:highlight w:val="none"/>
                <w:u w:val="none"/>
                <w:lang w:val="en-US" w:eastAsia="zh-CN" w:bidi="ar"/>
              </w:rPr>
              <w:t>米，道路红线宽度</w:t>
            </w:r>
            <w:r>
              <w:rPr>
                <w:rFonts w:hint="eastAsia" w:ascii="Times New Roman" w:hAnsi="Times New Roman" w:eastAsia="宋体" w:cs="Times New Roman"/>
                <w:i w:val="0"/>
                <w:color w:val="auto"/>
                <w:kern w:val="0"/>
                <w:sz w:val="24"/>
                <w:szCs w:val="24"/>
                <w:highlight w:val="none"/>
                <w:u w:val="none"/>
                <w:lang w:val="en-US" w:eastAsia="zh-CN" w:bidi="ar"/>
              </w:rPr>
              <w:t>42</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湛江市一中新校区周边配套市政设施</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拟在湛江一中新校区周边拟建设道路，总长约</w:t>
            </w:r>
            <w:r>
              <w:rPr>
                <w:rFonts w:hint="eastAsia" w:ascii="Times New Roman" w:hAnsi="Times New Roman" w:eastAsia="宋体" w:cs="Times New Roman"/>
                <w:i w:val="0"/>
                <w:color w:val="auto"/>
                <w:kern w:val="0"/>
                <w:sz w:val="24"/>
                <w:szCs w:val="24"/>
                <w:highlight w:val="none"/>
                <w:u w:val="none"/>
                <w:lang w:val="en-US" w:eastAsia="zh-CN" w:bidi="ar"/>
              </w:rPr>
              <w:t>3.54</w:t>
            </w:r>
            <w:r>
              <w:rPr>
                <w:rFonts w:hint="default" w:ascii="Times New Roman" w:hAnsi="Times New Roman" w:eastAsia="宋体" w:cs="Times New Roman"/>
                <w:i w:val="0"/>
                <w:color w:val="auto"/>
                <w:kern w:val="0"/>
                <w:sz w:val="24"/>
                <w:szCs w:val="24"/>
                <w:highlight w:val="none"/>
                <w:u w:val="none"/>
                <w:lang w:val="en-US" w:eastAsia="zh-CN" w:bidi="ar"/>
              </w:rPr>
              <w:t>公里。</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32500.00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32500.00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广东医科大学海东校区周边配建道路项目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拟在广东医科大学海东校区周边建设三条道路，总长约</w:t>
            </w:r>
            <w:r>
              <w:rPr>
                <w:rFonts w:hint="eastAsia" w:ascii="Times New Roman" w:hAnsi="Times New Roman" w:eastAsia="宋体" w:cs="Times New Roman"/>
                <w:i w:val="0"/>
                <w:color w:val="auto"/>
                <w:kern w:val="0"/>
                <w:sz w:val="24"/>
                <w:szCs w:val="24"/>
                <w:highlight w:val="none"/>
                <w:u w:val="none"/>
                <w:lang w:val="en-US" w:eastAsia="zh-CN" w:bidi="ar"/>
              </w:rPr>
              <w:t>3.51</w:t>
            </w:r>
            <w:r>
              <w:rPr>
                <w:rFonts w:hint="default" w:ascii="Times New Roman" w:hAnsi="Times New Roman" w:eastAsia="宋体" w:cs="Times New Roman"/>
                <w:i w:val="0"/>
                <w:color w:val="auto"/>
                <w:kern w:val="0"/>
                <w:sz w:val="24"/>
                <w:szCs w:val="24"/>
                <w:highlight w:val="none"/>
                <w:u w:val="none"/>
                <w:lang w:val="en-US" w:eastAsia="zh-CN" w:bidi="ar"/>
              </w:rPr>
              <w:t>公里。</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34000.00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34000.00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海顺路至东旺大道北道路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项目全线长约</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公里，红线宽约</w:t>
            </w:r>
            <w:r>
              <w:rPr>
                <w:rFonts w:hint="eastAsia" w:ascii="Times New Roman" w:hAnsi="Times New Roman" w:eastAsia="宋体" w:cs="Times New Roman"/>
                <w:i w:val="0"/>
                <w:color w:val="auto"/>
                <w:kern w:val="0"/>
                <w:sz w:val="24"/>
                <w:szCs w:val="24"/>
                <w:highlight w:val="none"/>
                <w:u w:val="none"/>
                <w:lang w:val="en-US" w:eastAsia="zh-CN" w:bidi="ar"/>
              </w:rPr>
              <w:t>60</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东盛大道北</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项目全线长约</w:t>
            </w:r>
            <w:r>
              <w:rPr>
                <w:rFonts w:hint="eastAsia" w:ascii="Times New Roman" w:hAnsi="Times New Roman" w:eastAsia="宋体" w:cs="Times New Roman"/>
                <w:i w:val="0"/>
                <w:color w:val="auto"/>
                <w:kern w:val="0"/>
                <w:sz w:val="24"/>
                <w:szCs w:val="24"/>
                <w:highlight w:val="none"/>
                <w:u w:val="none"/>
                <w:lang w:val="en-US" w:eastAsia="zh-CN" w:bidi="ar"/>
              </w:rPr>
              <w:t>1.5</w:t>
            </w:r>
            <w:r>
              <w:rPr>
                <w:rFonts w:hint="default" w:ascii="Times New Roman" w:hAnsi="Times New Roman" w:eastAsia="宋体" w:cs="Times New Roman"/>
                <w:i w:val="0"/>
                <w:color w:val="auto"/>
                <w:kern w:val="0"/>
                <w:sz w:val="24"/>
                <w:szCs w:val="24"/>
                <w:highlight w:val="none"/>
                <w:u w:val="none"/>
                <w:lang w:val="en-US" w:eastAsia="zh-CN" w:bidi="ar"/>
              </w:rPr>
              <w:t>公里，红线宽约</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东祥大道</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项目全线长约</w:t>
            </w:r>
            <w:r>
              <w:rPr>
                <w:rFonts w:hint="eastAsia" w:ascii="Times New Roman" w:hAnsi="Times New Roman" w:eastAsia="宋体" w:cs="Times New Roman"/>
                <w:i w:val="0"/>
                <w:color w:val="auto"/>
                <w:kern w:val="0"/>
                <w:sz w:val="24"/>
                <w:szCs w:val="24"/>
                <w:highlight w:val="none"/>
                <w:u w:val="none"/>
                <w:lang w:val="en-US" w:eastAsia="zh-CN" w:bidi="ar"/>
              </w:rPr>
              <w:t>1.5</w:t>
            </w:r>
            <w:r>
              <w:rPr>
                <w:rFonts w:hint="default" w:ascii="Times New Roman" w:hAnsi="Times New Roman" w:eastAsia="宋体" w:cs="Times New Roman"/>
                <w:i w:val="0"/>
                <w:color w:val="auto"/>
                <w:kern w:val="0"/>
                <w:sz w:val="24"/>
                <w:szCs w:val="24"/>
                <w:highlight w:val="none"/>
                <w:u w:val="none"/>
                <w:lang w:val="en-US" w:eastAsia="zh-CN" w:bidi="ar"/>
              </w:rPr>
              <w:t>公里，红线宽约</w:t>
            </w:r>
            <w:r>
              <w:rPr>
                <w:rFonts w:hint="eastAsia" w:ascii="Times New Roman" w:hAnsi="Times New Roman" w:eastAsia="宋体" w:cs="Times New Roman"/>
                <w:i w:val="0"/>
                <w:color w:val="auto"/>
                <w:kern w:val="0"/>
                <w:sz w:val="24"/>
                <w:szCs w:val="24"/>
                <w:highlight w:val="none"/>
                <w:u w:val="none"/>
                <w:lang w:val="en-US" w:eastAsia="zh-CN" w:bidi="ar"/>
              </w:rPr>
              <w:t>60</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华发新城周边配套几条道路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本工程包含两部分，其一为新建道路，规划路起点为南三路，道路终点与华发地块规划路相交，，道路长度</w:t>
            </w:r>
            <w:r>
              <w:rPr>
                <w:rFonts w:hint="eastAsia" w:ascii="Times New Roman" w:hAnsi="Times New Roman" w:eastAsia="宋体" w:cs="Times New Roman"/>
                <w:i w:val="0"/>
                <w:color w:val="auto"/>
                <w:kern w:val="0"/>
                <w:sz w:val="24"/>
                <w:szCs w:val="24"/>
                <w:highlight w:val="none"/>
                <w:u w:val="none"/>
                <w:lang w:val="en-US" w:eastAsia="zh-CN" w:bidi="ar"/>
              </w:rPr>
              <w:t>0.37</w:t>
            </w:r>
            <w:r>
              <w:rPr>
                <w:rFonts w:hint="default" w:ascii="Times New Roman" w:hAnsi="Times New Roman" w:eastAsia="宋体" w:cs="Times New Roman"/>
                <w:i w:val="0"/>
                <w:color w:val="auto"/>
                <w:kern w:val="0"/>
                <w:sz w:val="24"/>
                <w:szCs w:val="24"/>
                <w:highlight w:val="none"/>
                <w:u w:val="none"/>
                <w:lang w:val="en-US" w:eastAsia="zh-CN" w:bidi="ar"/>
              </w:rPr>
              <w:t>公里，道路红线宽度</w:t>
            </w:r>
            <w:r>
              <w:rPr>
                <w:rFonts w:hint="eastAsia" w:ascii="Times New Roman" w:hAnsi="Times New Roman" w:eastAsia="宋体" w:cs="Times New Roman"/>
                <w:i w:val="0"/>
                <w:color w:val="auto"/>
                <w:kern w:val="0"/>
                <w:sz w:val="24"/>
                <w:szCs w:val="24"/>
                <w:highlight w:val="none"/>
                <w:u w:val="none"/>
                <w:lang w:val="en-US" w:eastAsia="zh-CN" w:bidi="ar"/>
              </w:rPr>
              <w:t>18</w:t>
            </w:r>
            <w:r>
              <w:rPr>
                <w:rFonts w:hint="default" w:ascii="Times New Roman" w:hAnsi="Times New Roman" w:eastAsia="宋体" w:cs="Times New Roman"/>
                <w:i w:val="0"/>
                <w:color w:val="auto"/>
                <w:kern w:val="0"/>
                <w:sz w:val="24"/>
                <w:szCs w:val="24"/>
                <w:highlight w:val="none"/>
                <w:u w:val="none"/>
                <w:lang w:val="en-US" w:eastAsia="zh-CN" w:bidi="ar"/>
              </w:rPr>
              <w:t>米，另一部分为新建规划管网，管网位于南三路，长度约</w:t>
            </w:r>
            <w:r>
              <w:rPr>
                <w:rFonts w:hint="eastAsia" w:ascii="Times New Roman" w:hAnsi="Times New Roman" w:eastAsia="宋体" w:cs="Times New Roman"/>
                <w:i w:val="0"/>
                <w:color w:val="auto"/>
                <w:kern w:val="0"/>
                <w:sz w:val="24"/>
                <w:szCs w:val="24"/>
                <w:highlight w:val="none"/>
                <w:u w:val="none"/>
                <w:lang w:val="en-US" w:eastAsia="zh-CN" w:bidi="ar"/>
              </w:rPr>
              <w:t>150</w:t>
            </w:r>
            <w:r>
              <w:rPr>
                <w:rFonts w:hint="default" w:ascii="Times New Roman" w:hAnsi="Times New Roman" w:eastAsia="宋体" w:cs="Times New Roman"/>
                <w:i w:val="0"/>
                <w:color w:val="auto"/>
                <w:kern w:val="0"/>
                <w:sz w:val="24"/>
                <w:szCs w:val="24"/>
                <w:highlight w:val="none"/>
                <w:u w:val="none"/>
                <w:lang w:val="en-US" w:eastAsia="zh-CN" w:bidi="ar"/>
              </w:rPr>
              <w:t>米。本工程设计内容包括道路工程、交通工程、排水工程、综合管沟工程、绿化工程、照明工程。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2848.51</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2848.51</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湛江市坡头区东城中路、东城东路项目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项目全线长约</w:t>
            </w:r>
            <w:r>
              <w:rPr>
                <w:rFonts w:hint="eastAsia" w:ascii="Times New Roman" w:hAnsi="Times New Roman" w:eastAsia="宋体" w:cs="Times New Roman"/>
                <w:i w:val="0"/>
                <w:color w:val="auto"/>
                <w:kern w:val="0"/>
                <w:sz w:val="24"/>
                <w:szCs w:val="24"/>
                <w:highlight w:val="none"/>
                <w:u w:val="none"/>
                <w:lang w:val="en-US" w:eastAsia="zh-CN" w:bidi="ar"/>
              </w:rPr>
              <w:t>3.1</w:t>
            </w:r>
            <w:r>
              <w:rPr>
                <w:rFonts w:hint="default" w:ascii="Times New Roman" w:hAnsi="Times New Roman" w:eastAsia="宋体" w:cs="Times New Roman"/>
                <w:i w:val="0"/>
                <w:color w:val="auto"/>
                <w:kern w:val="0"/>
                <w:sz w:val="24"/>
                <w:szCs w:val="24"/>
                <w:highlight w:val="none"/>
                <w:u w:val="none"/>
                <w:lang w:val="en-US" w:eastAsia="zh-CN" w:bidi="ar"/>
              </w:rPr>
              <w:t>公里，红线宽约</w:t>
            </w:r>
            <w:r>
              <w:rPr>
                <w:rFonts w:hint="eastAsia" w:ascii="Times New Roman" w:hAnsi="Times New Roman" w:eastAsia="宋体" w:cs="Times New Roman"/>
                <w:i w:val="0"/>
                <w:color w:val="auto"/>
                <w:kern w:val="0"/>
                <w:sz w:val="24"/>
                <w:szCs w:val="24"/>
                <w:highlight w:val="none"/>
                <w:u w:val="none"/>
                <w:lang w:val="en-US" w:eastAsia="zh-CN" w:bidi="ar"/>
              </w:rPr>
              <w:t>36</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24286.00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24286.00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怡海路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项目全线长约</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公里，红线宽约</w:t>
            </w:r>
            <w:r>
              <w:rPr>
                <w:rFonts w:hint="eastAsia" w:ascii="Times New Roman" w:hAnsi="Times New Roman" w:eastAsia="宋体" w:cs="Times New Roman"/>
                <w:i w:val="0"/>
                <w:color w:val="auto"/>
                <w:kern w:val="0"/>
                <w:sz w:val="24"/>
                <w:szCs w:val="24"/>
                <w:highlight w:val="none"/>
                <w:u w:val="none"/>
                <w:lang w:val="en-US" w:eastAsia="zh-CN" w:bidi="ar"/>
              </w:rPr>
              <w:t>42</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东盛大道南(海川快线-中心路）、海盛路（一期）</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东盛大道南（一期）项目建设内容：道路、综合管廊、雨污水、供电、照明、给水、通信、绿化等配套设施。总体规模道路长度约</w:t>
            </w:r>
            <w:r>
              <w:rPr>
                <w:rFonts w:hint="eastAsia" w:ascii="Times New Roman" w:hAnsi="Times New Roman" w:eastAsia="宋体" w:cs="Times New Roman"/>
                <w:i w:val="0"/>
                <w:color w:val="auto"/>
                <w:kern w:val="0"/>
                <w:sz w:val="24"/>
                <w:szCs w:val="24"/>
                <w:highlight w:val="none"/>
                <w:u w:val="none"/>
                <w:lang w:val="en-US" w:eastAsia="zh-CN" w:bidi="ar"/>
              </w:rPr>
              <w:t>0.5KM</w:t>
            </w:r>
            <w:r>
              <w:rPr>
                <w:rFonts w:hint="default" w:ascii="Times New Roman" w:hAnsi="Times New Roman" w:eastAsia="宋体" w:cs="Times New Roman"/>
                <w:i w:val="0"/>
                <w:color w:val="auto"/>
                <w:kern w:val="0"/>
                <w:sz w:val="24"/>
                <w:szCs w:val="24"/>
                <w:highlight w:val="none"/>
                <w:u w:val="none"/>
                <w:lang w:val="en-US" w:eastAsia="zh-CN" w:bidi="ar"/>
              </w:rPr>
              <w:t>,挖方</w:t>
            </w:r>
            <w:r>
              <w:rPr>
                <w:rFonts w:hint="eastAsia" w:ascii="Times New Roman" w:hAnsi="Times New Roman" w:eastAsia="宋体" w:cs="Times New Roman"/>
                <w:i w:val="0"/>
                <w:color w:val="auto"/>
                <w:kern w:val="0"/>
                <w:sz w:val="24"/>
                <w:szCs w:val="24"/>
                <w:highlight w:val="none"/>
                <w:u w:val="none"/>
                <w:lang w:val="en-US" w:eastAsia="zh-CN" w:bidi="ar"/>
              </w:rPr>
              <w:t>13750</w:t>
            </w:r>
            <w:r>
              <w:rPr>
                <w:rFonts w:hint="default" w:ascii="Times New Roman" w:hAnsi="Times New Roman" w:eastAsia="宋体" w:cs="Times New Roman"/>
                <w:i w:val="0"/>
                <w:color w:val="auto"/>
                <w:kern w:val="0"/>
                <w:sz w:val="24"/>
                <w:szCs w:val="24"/>
                <w:highlight w:val="none"/>
                <w:u w:val="none"/>
                <w:lang w:val="en-US" w:eastAsia="zh-CN" w:bidi="ar"/>
              </w:rPr>
              <w:t>立方米，填方</w:t>
            </w:r>
            <w:r>
              <w:rPr>
                <w:rFonts w:hint="eastAsia" w:ascii="Times New Roman" w:hAnsi="Times New Roman" w:eastAsia="宋体" w:cs="Times New Roman"/>
                <w:i w:val="0"/>
                <w:color w:val="auto"/>
                <w:kern w:val="0"/>
                <w:sz w:val="24"/>
                <w:szCs w:val="24"/>
                <w:highlight w:val="none"/>
                <w:u w:val="none"/>
                <w:lang w:val="en-US" w:eastAsia="zh-CN" w:bidi="ar"/>
              </w:rPr>
              <w:t>162000</w:t>
            </w:r>
            <w:r>
              <w:rPr>
                <w:rFonts w:hint="default" w:ascii="Times New Roman" w:hAnsi="Times New Roman" w:eastAsia="宋体" w:cs="Times New Roman"/>
                <w:i w:val="0"/>
                <w:color w:val="auto"/>
                <w:kern w:val="0"/>
                <w:sz w:val="24"/>
                <w:szCs w:val="24"/>
                <w:highlight w:val="none"/>
                <w:u w:val="none"/>
                <w:lang w:val="en-US" w:eastAsia="zh-CN" w:bidi="ar"/>
              </w:rPr>
              <w:t>立方米，新建沥青路面</w:t>
            </w:r>
            <w:r>
              <w:rPr>
                <w:rFonts w:hint="eastAsia" w:ascii="Times New Roman" w:hAnsi="Times New Roman" w:eastAsia="宋体" w:cs="Times New Roman"/>
                <w:i w:val="0"/>
                <w:color w:val="auto"/>
                <w:kern w:val="0"/>
                <w:sz w:val="24"/>
                <w:szCs w:val="24"/>
                <w:highlight w:val="none"/>
                <w:u w:val="none"/>
                <w:lang w:val="en-US" w:eastAsia="zh-CN" w:bidi="ar"/>
              </w:rPr>
              <w:t>13200</w:t>
            </w:r>
            <w:r>
              <w:rPr>
                <w:rFonts w:hint="default" w:ascii="Times New Roman" w:hAnsi="Times New Roman" w:eastAsia="宋体" w:cs="Times New Roman"/>
                <w:i w:val="0"/>
                <w:color w:val="auto"/>
                <w:kern w:val="0"/>
                <w:sz w:val="24"/>
                <w:szCs w:val="24"/>
                <w:highlight w:val="none"/>
                <w:u w:val="none"/>
                <w:lang w:val="en-US" w:eastAsia="zh-CN" w:bidi="ar"/>
              </w:rPr>
              <w:t>平米，非机动车道路路面</w:t>
            </w:r>
            <w:r>
              <w:rPr>
                <w:rFonts w:hint="eastAsia" w:ascii="Times New Roman" w:hAnsi="Times New Roman" w:eastAsia="宋体" w:cs="Times New Roman"/>
                <w:i w:val="0"/>
                <w:color w:val="auto"/>
                <w:kern w:val="0"/>
                <w:sz w:val="24"/>
                <w:szCs w:val="24"/>
                <w:highlight w:val="none"/>
                <w:u w:val="none"/>
                <w:lang w:val="en-US" w:eastAsia="zh-CN" w:bidi="ar"/>
              </w:rPr>
              <w:t>3850</w:t>
            </w:r>
            <w:r>
              <w:rPr>
                <w:rFonts w:hint="default" w:ascii="Times New Roman" w:hAnsi="Times New Roman" w:eastAsia="宋体" w:cs="Times New Roman"/>
                <w:i w:val="0"/>
                <w:color w:val="auto"/>
                <w:kern w:val="0"/>
                <w:sz w:val="24"/>
                <w:szCs w:val="24"/>
                <w:highlight w:val="none"/>
                <w:u w:val="none"/>
                <w:lang w:val="en-US" w:eastAsia="zh-CN" w:bidi="ar"/>
              </w:rPr>
              <w:t>平米，人行道</w:t>
            </w:r>
            <w:r>
              <w:rPr>
                <w:rFonts w:hint="eastAsia" w:ascii="Times New Roman" w:hAnsi="Times New Roman" w:eastAsia="宋体" w:cs="Times New Roman"/>
                <w:i w:val="0"/>
                <w:color w:val="auto"/>
                <w:kern w:val="0"/>
                <w:sz w:val="24"/>
                <w:szCs w:val="24"/>
                <w:highlight w:val="none"/>
                <w:u w:val="none"/>
                <w:lang w:val="en-US" w:eastAsia="zh-CN" w:bidi="ar"/>
              </w:rPr>
              <w:t>4950</w:t>
            </w:r>
            <w:r>
              <w:rPr>
                <w:rFonts w:hint="default" w:ascii="Times New Roman" w:hAnsi="Times New Roman" w:eastAsia="宋体" w:cs="Times New Roman"/>
                <w:i w:val="0"/>
                <w:color w:val="auto"/>
                <w:kern w:val="0"/>
                <w:sz w:val="24"/>
                <w:szCs w:val="24"/>
                <w:highlight w:val="none"/>
                <w:u w:val="none"/>
                <w:lang w:val="en-US" w:eastAsia="zh-CN" w:bidi="ar"/>
              </w:rPr>
              <w:t>平米。海盛路（一期）建设内容：道路、雨污水、供电、照明、给水、通信、绿化等配套设施。道路长度约</w:t>
            </w:r>
            <w:r>
              <w:rPr>
                <w:rFonts w:hint="eastAsia" w:ascii="Times New Roman" w:hAnsi="Times New Roman" w:eastAsia="宋体" w:cs="Times New Roman"/>
                <w:i w:val="0"/>
                <w:color w:val="auto"/>
                <w:kern w:val="0"/>
                <w:sz w:val="24"/>
                <w:szCs w:val="24"/>
                <w:highlight w:val="none"/>
                <w:u w:val="none"/>
                <w:lang w:val="en-US" w:eastAsia="zh-CN" w:bidi="ar"/>
              </w:rPr>
              <w:t>0.6KM</w:t>
            </w:r>
            <w:r>
              <w:rPr>
                <w:rFonts w:hint="default" w:ascii="Times New Roman" w:hAnsi="Times New Roman" w:eastAsia="宋体" w:cs="Times New Roman"/>
                <w:i w:val="0"/>
                <w:color w:val="auto"/>
                <w:kern w:val="0"/>
                <w:sz w:val="24"/>
                <w:szCs w:val="24"/>
                <w:highlight w:val="none"/>
                <w:u w:val="none"/>
                <w:lang w:val="en-US" w:eastAsia="zh-CN" w:bidi="ar"/>
              </w:rPr>
              <w:t>，挖方</w:t>
            </w:r>
            <w:r>
              <w:rPr>
                <w:rFonts w:hint="eastAsia" w:ascii="Times New Roman" w:hAnsi="Times New Roman" w:eastAsia="宋体" w:cs="Times New Roman"/>
                <w:i w:val="0"/>
                <w:color w:val="auto"/>
                <w:kern w:val="0"/>
                <w:sz w:val="24"/>
                <w:szCs w:val="24"/>
                <w:highlight w:val="none"/>
                <w:u w:val="none"/>
                <w:lang w:val="en-US" w:eastAsia="zh-CN" w:bidi="ar"/>
              </w:rPr>
              <w:t>25200</w:t>
            </w:r>
            <w:r>
              <w:rPr>
                <w:rFonts w:hint="default" w:ascii="Times New Roman" w:hAnsi="Times New Roman" w:eastAsia="宋体" w:cs="Times New Roman"/>
                <w:i w:val="0"/>
                <w:color w:val="auto"/>
                <w:kern w:val="0"/>
                <w:sz w:val="24"/>
                <w:szCs w:val="24"/>
                <w:highlight w:val="none"/>
                <w:u w:val="none"/>
                <w:lang w:val="en-US" w:eastAsia="zh-CN" w:bidi="ar"/>
              </w:rPr>
              <w:t>立方米，填方</w:t>
            </w:r>
            <w:r>
              <w:rPr>
                <w:rFonts w:hint="eastAsia" w:ascii="Times New Roman" w:hAnsi="Times New Roman" w:eastAsia="宋体" w:cs="Times New Roman"/>
                <w:i w:val="0"/>
                <w:color w:val="auto"/>
                <w:kern w:val="0"/>
                <w:sz w:val="24"/>
                <w:szCs w:val="24"/>
                <w:highlight w:val="none"/>
                <w:u w:val="none"/>
                <w:lang w:val="en-US" w:eastAsia="zh-CN" w:bidi="ar"/>
              </w:rPr>
              <w:t>36000</w:t>
            </w:r>
            <w:r>
              <w:rPr>
                <w:rFonts w:hint="default" w:ascii="Times New Roman" w:hAnsi="Times New Roman" w:eastAsia="宋体" w:cs="Times New Roman"/>
                <w:i w:val="0"/>
                <w:color w:val="auto"/>
                <w:kern w:val="0"/>
                <w:sz w:val="24"/>
                <w:szCs w:val="24"/>
                <w:highlight w:val="none"/>
                <w:u w:val="none"/>
                <w:lang w:val="en-US" w:eastAsia="zh-CN" w:bidi="ar"/>
              </w:rPr>
              <w:t>立方米，新建沥青路面</w:t>
            </w:r>
            <w:r>
              <w:rPr>
                <w:rFonts w:hint="eastAsia" w:ascii="Times New Roman" w:hAnsi="Times New Roman" w:eastAsia="宋体" w:cs="Times New Roman"/>
                <w:i w:val="0"/>
                <w:color w:val="auto"/>
                <w:kern w:val="0"/>
                <w:sz w:val="24"/>
                <w:szCs w:val="24"/>
                <w:highlight w:val="none"/>
                <w:u w:val="none"/>
                <w:lang w:val="en-US" w:eastAsia="zh-CN" w:bidi="ar"/>
              </w:rPr>
              <w:t>9600</w:t>
            </w:r>
            <w:r>
              <w:rPr>
                <w:rFonts w:hint="default" w:ascii="Times New Roman" w:hAnsi="Times New Roman" w:eastAsia="宋体" w:cs="Times New Roman"/>
                <w:i w:val="0"/>
                <w:color w:val="auto"/>
                <w:kern w:val="0"/>
                <w:sz w:val="24"/>
                <w:szCs w:val="24"/>
                <w:highlight w:val="none"/>
                <w:u w:val="none"/>
                <w:lang w:val="en-US" w:eastAsia="zh-CN" w:bidi="ar"/>
              </w:rPr>
              <w:t>平方米，红线宽度</w:t>
            </w:r>
            <w:r>
              <w:rPr>
                <w:rFonts w:hint="eastAsia" w:ascii="Times New Roman" w:hAnsi="Times New Roman" w:eastAsia="宋体" w:cs="Times New Roman"/>
                <w:i w:val="0"/>
                <w:color w:val="auto"/>
                <w:kern w:val="0"/>
                <w:sz w:val="24"/>
                <w:szCs w:val="24"/>
                <w:highlight w:val="none"/>
                <w:u w:val="none"/>
                <w:lang w:val="en-US" w:eastAsia="zh-CN" w:bidi="ar"/>
              </w:rPr>
              <w:t>36</w:t>
            </w:r>
            <w:r>
              <w:rPr>
                <w:rFonts w:hint="default" w:ascii="Times New Roman" w:hAnsi="Times New Roman" w:eastAsia="宋体" w:cs="Times New Roman"/>
                <w:i w:val="0"/>
                <w:color w:val="auto"/>
                <w:kern w:val="0"/>
                <w:sz w:val="24"/>
                <w:szCs w:val="24"/>
                <w:highlight w:val="none"/>
                <w:u w:val="none"/>
                <w:lang w:val="en-US" w:eastAsia="zh-CN" w:bidi="ar"/>
              </w:rPr>
              <w:t>米，设计车速</w:t>
            </w:r>
            <w:r>
              <w:rPr>
                <w:rFonts w:hint="eastAsia" w:ascii="Times New Roman" w:hAnsi="Times New Roman" w:eastAsia="宋体" w:cs="Times New Roman"/>
                <w:i w:val="0"/>
                <w:color w:val="auto"/>
                <w:kern w:val="0"/>
                <w:sz w:val="24"/>
                <w:szCs w:val="24"/>
                <w:highlight w:val="none"/>
                <w:u w:val="none"/>
                <w:lang w:val="en-US" w:eastAsia="zh-CN" w:bidi="ar"/>
              </w:rPr>
              <w:t>40KM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2019.6.20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2020.11.20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7440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2060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南油三区道路（原鸡咀山路）整治工程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项目全长</w:t>
            </w:r>
            <w:r>
              <w:rPr>
                <w:rFonts w:hint="eastAsia" w:ascii="Times New Roman" w:hAnsi="Times New Roman" w:eastAsia="宋体" w:cs="Times New Roman"/>
                <w:i w:val="0"/>
                <w:color w:val="auto"/>
                <w:kern w:val="0"/>
                <w:sz w:val="24"/>
                <w:szCs w:val="24"/>
                <w:highlight w:val="none"/>
                <w:u w:val="none"/>
                <w:lang w:val="en-US" w:eastAsia="zh-CN" w:bidi="ar"/>
              </w:rPr>
              <w:t>3.83</w:t>
            </w:r>
            <w:r>
              <w:rPr>
                <w:rFonts w:hint="default" w:ascii="Times New Roman" w:hAnsi="Times New Roman" w:eastAsia="宋体" w:cs="Times New Roman"/>
                <w:i w:val="0"/>
                <w:color w:val="auto"/>
                <w:kern w:val="0"/>
                <w:sz w:val="24"/>
                <w:szCs w:val="24"/>
                <w:highlight w:val="none"/>
                <w:u w:val="none"/>
                <w:lang w:val="en-US" w:eastAsia="zh-CN" w:bidi="ar"/>
              </w:rPr>
              <w:t>公里，分</w:t>
            </w:r>
            <w:r>
              <w:rPr>
                <w:rFonts w:hint="eastAsia" w:ascii="Times New Roman" w:hAnsi="Times New Roman" w:eastAsia="宋体" w:cs="Times New Roman"/>
                <w:i w:val="0"/>
                <w:color w:val="auto"/>
                <w:kern w:val="0"/>
                <w:sz w:val="24"/>
                <w:szCs w:val="24"/>
                <w:highlight w:val="none"/>
                <w:u w:val="none"/>
                <w:lang w:val="en-US" w:eastAsia="zh-CN" w:bidi="ar"/>
              </w:rPr>
              <w:t>A</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B</w:t>
            </w:r>
            <w:r>
              <w:rPr>
                <w:rFonts w:hint="default" w:ascii="Times New Roman" w:hAnsi="Times New Roman" w:eastAsia="宋体" w:cs="Times New Roman"/>
                <w:i w:val="0"/>
                <w:color w:val="auto"/>
                <w:kern w:val="0"/>
                <w:sz w:val="24"/>
                <w:szCs w:val="24"/>
                <w:highlight w:val="none"/>
                <w:u w:val="none"/>
                <w:lang w:val="en-US" w:eastAsia="zh-CN" w:bidi="ar"/>
              </w:rPr>
              <w:t>段，</w:t>
            </w:r>
            <w:r>
              <w:rPr>
                <w:rFonts w:hint="eastAsia" w:ascii="Times New Roman" w:hAnsi="Times New Roman" w:eastAsia="宋体" w:cs="Times New Roman"/>
                <w:i w:val="0"/>
                <w:color w:val="auto"/>
                <w:kern w:val="0"/>
                <w:sz w:val="24"/>
                <w:szCs w:val="24"/>
                <w:highlight w:val="none"/>
                <w:u w:val="none"/>
                <w:lang w:val="en-US" w:eastAsia="zh-CN" w:bidi="ar"/>
              </w:rPr>
              <w:t>A</w:t>
            </w:r>
            <w:r>
              <w:rPr>
                <w:rFonts w:hint="default" w:ascii="Times New Roman" w:hAnsi="Times New Roman" w:eastAsia="宋体" w:cs="Times New Roman"/>
                <w:i w:val="0"/>
                <w:color w:val="auto"/>
                <w:kern w:val="0"/>
                <w:sz w:val="24"/>
                <w:szCs w:val="24"/>
                <w:highlight w:val="none"/>
                <w:u w:val="none"/>
                <w:lang w:val="en-US" w:eastAsia="zh-CN" w:bidi="ar"/>
              </w:rPr>
              <w:t>段全长</w:t>
            </w:r>
            <w:r>
              <w:rPr>
                <w:rFonts w:hint="eastAsia" w:ascii="Times New Roman" w:hAnsi="Times New Roman" w:eastAsia="宋体" w:cs="Times New Roman"/>
                <w:i w:val="0"/>
                <w:color w:val="auto"/>
                <w:kern w:val="0"/>
                <w:sz w:val="24"/>
                <w:szCs w:val="24"/>
                <w:highlight w:val="none"/>
                <w:u w:val="none"/>
                <w:lang w:val="en-US" w:eastAsia="zh-CN" w:bidi="ar"/>
              </w:rPr>
              <w:t>2.51</w:t>
            </w:r>
            <w:r>
              <w:rPr>
                <w:rFonts w:hint="default" w:ascii="Times New Roman" w:hAnsi="Times New Roman" w:eastAsia="宋体" w:cs="Times New Roman"/>
                <w:i w:val="0"/>
                <w:color w:val="auto"/>
                <w:kern w:val="0"/>
                <w:sz w:val="24"/>
                <w:szCs w:val="24"/>
                <w:highlight w:val="none"/>
                <w:u w:val="none"/>
                <w:lang w:val="en-US" w:eastAsia="zh-CN" w:bidi="ar"/>
              </w:rPr>
              <w:t>公里，无其他附属工程，</w:t>
            </w:r>
            <w:r>
              <w:rPr>
                <w:rFonts w:hint="eastAsia" w:ascii="Times New Roman" w:hAnsi="Times New Roman" w:eastAsia="宋体" w:cs="Times New Roman"/>
                <w:i w:val="0"/>
                <w:color w:val="auto"/>
                <w:kern w:val="0"/>
                <w:sz w:val="24"/>
                <w:szCs w:val="24"/>
                <w:highlight w:val="none"/>
                <w:u w:val="none"/>
                <w:lang w:val="en-US" w:eastAsia="zh-CN" w:bidi="ar"/>
              </w:rPr>
              <w:t>B</w:t>
            </w:r>
            <w:r>
              <w:rPr>
                <w:rFonts w:hint="default" w:ascii="Times New Roman" w:hAnsi="Times New Roman" w:eastAsia="宋体" w:cs="Times New Roman"/>
                <w:i w:val="0"/>
                <w:color w:val="auto"/>
                <w:kern w:val="0"/>
                <w:sz w:val="24"/>
                <w:szCs w:val="24"/>
                <w:highlight w:val="none"/>
                <w:u w:val="none"/>
                <w:lang w:val="en-US" w:eastAsia="zh-CN" w:bidi="ar"/>
              </w:rPr>
              <w:t>段全长</w:t>
            </w:r>
            <w:r>
              <w:rPr>
                <w:rFonts w:hint="eastAsia" w:ascii="Times New Roman" w:hAnsi="Times New Roman" w:eastAsia="宋体" w:cs="Times New Roman"/>
                <w:i w:val="0"/>
                <w:color w:val="auto"/>
                <w:kern w:val="0"/>
                <w:sz w:val="24"/>
                <w:szCs w:val="24"/>
                <w:highlight w:val="none"/>
                <w:u w:val="none"/>
                <w:lang w:val="en-US" w:eastAsia="zh-CN" w:bidi="ar"/>
              </w:rPr>
              <w:t>1.32</w:t>
            </w:r>
            <w:r>
              <w:rPr>
                <w:rFonts w:hint="default" w:ascii="Times New Roman" w:hAnsi="Times New Roman" w:eastAsia="宋体" w:cs="Times New Roman"/>
                <w:i w:val="0"/>
                <w:color w:val="auto"/>
                <w:kern w:val="0"/>
                <w:sz w:val="24"/>
                <w:szCs w:val="24"/>
                <w:highlight w:val="none"/>
                <w:u w:val="none"/>
                <w:lang w:val="en-US" w:eastAsia="zh-CN" w:bidi="ar"/>
              </w:rPr>
              <w:t>公里，建设被人包括道路工程、排水工程、交通工程、照明工程。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3251.27</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751.00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金湾南路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项目道路全线长约</w:t>
            </w:r>
            <w:r>
              <w:rPr>
                <w:rFonts w:hint="eastAsia" w:ascii="Times New Roman" w:hAnsi="Times New Roman" w:eastAsia="宋体" w:cs="Times New Roman"/>
                <w:i w:val="0"/>
                <w:color w:val="auto"/>
                <w:kern w:val="0"/>
                <w:sz w:val="24"/>
                <w:szCs w:val="24"/>
                <w:highlight w:val="none"/>
                <w:u w:val="none"/>
                <w:lang w:val="en-US" w:eastAsia="zh-CN" w:bidi="ar"/>
              </w:rPr>
              <w:t>200</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39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调顺岛至海东新区跨海隧道</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10.945</w:t>
            </w:r>
            <w:r>
              <w:rPr>
                <w:rFonts w:hint="default" w:ascii="Times New Roman" w:hAnsi="Times New Roman" w:eastAsia="宋体" w:cs="Times New Roman"/>
                <w:i w:val="0"/>
                <w:color w:val="auto"/>
                <w:kern w:val="0"/>
                <w:sz w:val="24"/>
                <w:szCs w:val="24"/>
                <w:highlight w:val="none"/>
                <w:u w:val="none"/>
                <w:lang w:val="en-US" w:eastAsia="zh-CN" w:bidi="ar"/>
              </w:rPr>
              <w:t>千米，按照</w:t>
            </w:r>
            <w:r>
              <w:rPr>
                <w:rFonts w:hint="eastAsia" w:ascii="Times New Roman" w:hAnsi="Times New Roman" w:eastAsia="宋体" w:cs="Times New Roman"/>
                <w:i w:val="0"/>
                <w:color w:val="auto"/>
                <w:kern w:val="0"/>
                <w:sz w:val="24"/>
                <w:szCs w:val="24"/>
                <w:highlight w:val="none"/>
                <w:u w:val="none"/>
                <w:lang w:val="en-US" w:eastAsia="zh-CN" w:bidi="ar"/>
              </w:rPr>
              <w:t>80KM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H</w:t>
            </w:r>
            <w:r>
              <w:rPr>
                <w:rFonts w:hint="default" w:ascii="Times New Roman" w:hAnsi="Times New Roman" w:eastAsia="宋体" w:cs="Times New Roman"/>
                <w:i w:val="0"/>
                <w:color w:val="auto"/>
                <w:kern w:val="0"/>
                <w:sz w:val="24"/>
                <w:szCs w:val="24"/>
                <w:highlight w:val="none"/>
                <w:u w:val="none"/>
                <w:lang w:val="en-US" w:eastAsia="zh-CN" w:bidi="ar"/>
              </w:rPr>
              <w:t>,双向</w:t>
            </w:r>
            <w:r>
              <w:rPr>
                <w:rFonts w:hint="eastAsia" w:ascii="Times New Roman" w:hAnsi="Times New Roman" w:eastAsia="宋体" w:cs="Times New Roman"/>
                <w:i w:val="0"/>
                <w:color w:val="auto"/>
                <w:kern w:val="0"/>
                <w:sz w:val="24"/>
                <w:szCs w:val="24"/>
                <w:highlight w:val="none"/>
                <w:u w:val="none"/>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车道，一级公路标准设计，路基宽度</w:t>
            </w:r>
            <w:r>
              <w:rPr>
                <w:rFonts w:hint="eastAsia" w:ascii="Times New Roman" w:hAnsi="Times New Roman" w:eastAsia="宋体" w:cs="Times New Roman"/>
                <w:i w:val="0"/>
                <w:color w:val="auto"/>
                <w:kern w:val="0"/>
                <w:sz w:val="24"/>
                <w:szCs w:val="24"/>
                <w:highlight w:val="none"/>
                <w:u w:val="none"/>
                <w:lang w:val="en-US" w:eastAsia="zh-CN" w:bidi="ar"/>
              </w:rPr>
              <w:t>32</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396400.00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396400.00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南三岛环岛公路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路线全长</w:t>
            </w:r>
            <w:r>
              <w:rPr>
                <w:rFonts w:hint="eastAsia" w:ascii="Times New Roman" w:hAnsi="Times New Roman" w:eastAsia="宋体" w:cs="Times New Roman"/>
                <w:i w:val="0"/>
                <w:color w:val="auto"/>
                <w:kern w:val="0"/>
                <w:sz w:val="24"/>
                <w:szCs w:val="24"/>
                <w:highlight w:val="none"/>
                <w:u w:val="none"/>
                <w:lang w:val="en-US" w:eastAsia="zh-CN" w:bidi="ar"/>
              </w:rPr>
              <w:t>45</w:t>
            </w:r>
            <w:r>
              <w:rPr>
                <w:rFonts w:hint="default" w:ascii="Times New Roman" w:hAnsi="Times New Roman" w:eastAsia="宋体" w:cs="Times New Roman"/>
                <w:i w:val="0"/>
                <w:color w:val="auto"/>
                <w:kern w:val="0"/>
                <w:sz w:val="24"/>
                <w:szCs w:val="24"/>
                <w:highlight w:val="none"/>
                <w:u w:val="none"/>
                <w:lang w:val="en-US" w:eastAsia="zh-CN" w:bidi="ar"/>
              </w:rPr>
              <w:t>公里，路基宽</w:t>
            </w:r>
            <w:r>
              <w:rPr>
                <w:rFonts w:hint="eastAsia" w:ascii="Times New Roman" w:hAnsi="Times New Roman" w:eastAsia="宋体" w:cs="Times New Roman"/>
                <w:i w:val="0"/>
                <w:color w:val="auto"/>
                <w:kern w:val="0"/>
                <w:sz w:val="24"/>
                <w:szCs w:val="24"/>
                <w:highlight w:val="none"/>
                <w:u w:val="none"/>
                <w:lang w:val="en-US" w:eastAsia="zh-CN" w:bidi="ar"/>
              </w:rPr>
              <w:t>24.5</w:t>
            </w:r>
            <w:r>
              <w:rPr>
                <w:rFonts w:hint="default" w:ascii="Times New Roman" w:hAnsi="Times New Roman" w:eastAsia="宋体" w:cs="Times New Roman"/>
                <w:i w:val="0"/>
                <w:color w:val="auto"/>
                <w:kern w:val="0"/>
                <w:sz w:val="24"/>
                <w:szCs w:val="24"/>
                <w:highlight w:val="none"/>
                <w:u w:val="none"/>
                <w:lang w:val="en-US" w:eastAsia="zh-CN" w:bidi="ar"/>
              </w:rPr>
              <w:t>米，双向四车道一级公路，特大桥</w:t>
            </w:r>
            <w:r>
              <w:rPr>
                <w:rFonts w:hint="eastAsia" w:ascii="Times New Roman" w:hAnsi="Times New Roman" w:eastAsia="宋体" w:cs="Times New Roman"/>
                <w:i w:val="0"/>
                <w:color w:val="auto"/>
                <w:kern w:val="0"/>
                <w:sz w:val="24"/>
                <w:szCs w:val="24"/>
                <w:highlight w:val="none"/>
                <w:u w:val="none"/>
                <w:lang w:val="en-US" w:eastAsia="zh-CN" w:bidi="ar"/>
              </w:rPr>
              <w:t>4650</w:t>
            </w:r>
            <w:r>
              <w:rPr>
                <w:rFonts w:hint="default" w:ascii="Times New Roman" w:hAnsi="Times New Roman" w:eastAsia="宋体" w:cs="Times New Roman"/>
                <w:i w:val="0"/>
                <w:color w:val="auto"/>
                <w:kern w:val="0"/>
                <w:sz w:val="24"/>
                <w:szCs w:val="24"/>
                <w:highlight w:val="none"/>
                <w:u w:val="none"/>
                <w:lang w:val="en-US" w:eastAsia="zh-CN" w:bidi="ar"/>
              </w:rPr>
              <w:t>米/</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座，大桥</w:t>
            </w:r>
            <w:r>
              <w:rPr>
                <w:rFonts w:hint="eastAsia" w:ascii="Times New Roman" w:hAnsi="Times New Roman" w:eastAsia="宋体" w:cs="Times New Roman"/>
                <w:i w:val="0"/>
                <w:color w:val="auto"/>
                <w:kern w:val="0"/>
                <w:sz w:val="24"/>
                <w:szCs w:val="24"/>
                <w:highlight w:val="none"/>
                <w:u w:val="none"/>
                <w:lang w:val="en-US" w:eastAsia="zh-CN" w:bidi="ar"/>
              </w:rPr>
              <w:t>1480</w:t>
            </w:r>
            <w:r>
              <w:rPr>
                <w:rFonts w:hint="default" w:ascii="Times New Roman" w:hAnsi="Times New Roman" w:eastAsia="宋体" w:cs="Times New Roman"/>
                <w:i w:val="0"/>
                <w:color w:val="auto"/>
                <w:kern w:val="0"/>
                <w:sz w:val="24"/>
                <w:szCs w:val="24"/>
                <w:highlight w:val="none"/>
                <w:u w:val="none"/>
                <w:lang w:val="en-US" w:eastAsia="zh-CN" w:bidi="ar"/>
              </w:rPr>
              <w:t>米/</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座。</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海东快线至笔架岭公路</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路线全长约</w:t>
            </w:r>
            <w:r>
              <w:rPr>
                <w:rFonts w:hint="eastAsia" w:ascii="Times New Roman" w:hAnsi="Times New Roman" w:eastAsia="宋体" w:cs="Times New Roman"/>
                <w:i w:val="0"/>
                <w:color w:val="auto"/>
                <w:kern w:val="0"/>
                <w:sz w:val="24"/>
                <w:szCs w:val="24"/>
                <w:highlight w:val="none"/>
                <w:u w:val="none"/>
                <w:lang w:val="en-US" w:eastAsia="zh-CN" w:bidi="ar"/>
              </w:rPr>
              <w:t>9KM</w:t>
            </w:r>
            <w:r>
              <w:rPr>
                <w:rFonts w:hint="default" w:ascii="Times New Roman" w:hAnsi="Times New Roman" w:eastAsia="宋体" w:cs="Times New Roman"/>
                <w:i w:val="0"/>
                <w:color w:val="auto"/>
                <w:kern w:val="0"/>
                <w:sz w:val="24"/>
                <w:szCs w:val="24"/>
                <w:highlight w:val="none"/>
                <w:u w:val="none"/>
                <w:lang w:val="en-US" w:eastAsia="zh-CN" w:bidi="ar"/>
              </w:rPr>
              <w:t>，按四车道一级公路规划设计，路基宽为</w:t>
            </w:r>
            <w:r>
              <w:rPr>
                <w:rFonts w:hint="eastAsia" w:ascii="Times New Roman" w:hAnsi="Times New Roman" w:eastAsia="宋体" w:cs="Times New Roman"/>
                <w:i w:val="0"/>
                <w:color w:val="auto"/>
                <w:kern w:val="0"/>
                <w:sz w:val="24"/>
                <w:szCs w:val="24"/>
                <w:highlight w:val="none"/>
                <w:u w:val="none"/>
                <w:lang w:val="en-US" w:eastAsia="zh-CN" w:bidi="ar"/>
              </w:rPr>
              <w:t>23</w:t>
            </w:r>
            <w:r>
              <w:rPr>
                <w:rFonts w:hint="default" w:ascii="Times New Roman" w:hAnsi="Times New Roman" w:eastAsia="宋体" w:cs="Times New Roman"/>
                <w:i w:val="0"/>
                <w:color w:val="auto"/>
                <w:kern w:val="0"/>
                <w:sz w:val="24"/>
                <w:szCs w:val="24"/>
                <w:highlight w:val="none"/>
                <w:u w:val="none"/>
                <w:lang w:val="en-US" w:eastAsia="zh-CN" w:bidi="ar"/>
              </w:rPr>
              <w:t>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2025</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2027</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27000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eastAsia="宋体" w:cs="Times New Roman"/>
                <w:b/>
                <w:bCs/>
                <w:i w:val="0"/>
                <w:color w:val="auto"/>
                <w:sz w:val="24"/>
                <w:szCs w:val="24"/>
                <w:highlight w:val="none"/>
                <w:u w:val="none"/>
                <w:lang w:val="en-US" w:eastAsia="zh-CN"/>
              </w:rPr>
              <w:t>（二）</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重大发展平台（</w:t>
            </w:r>
            <w:r>
              <w:rPr>
                <w:rFonts w:hint="eastAsia" w:ascii="Times New Roman" w:hAnsi="Times New Roman" w:eastAsia="宋体" w:cs="Times New Roman"/>
                <w:b/>
                <w:bCs/>
                <w:i w:val="0"/>
                <w:color w:val="auto"/>
                <w:kern w:val="0"/>
                <w:sz w:val="24"/>
                <w:szCs w:val="24"/>
                <w:highlight w:val="none"/>
                <w:u w:val="none"/>
                <w:lang w:val="en-US" w:eastAsia="zh-CN" w:bidi="ar"/>
              </w:rPr>
              <w:t>1</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湛江国家高新区基础设施建设</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其中两个项目是园区首期片区西区市政公路项目和海岸线生态修复工程。公路项目包括包括主干路：横一路、横二路、纵一路；次干路：滨水北路、纵四路；支路：滨水南路、一支路、二支路、三支路、四支路、六支路、纵五路共</w:t>
            </w:r>
            <w:r>
              <w:rPr>
                <w:rFonts w:hint="eastAsia" w:ascii="Times New Roman" w:hAnsi="Times New Roman" w:eastAsia="宋体" w:cs="Times New Roman"/>
                <w:i w:val="0"/>
                <w:color w:val="auto"/>
                <w:kern w:val="0"/>
                <w:sz w:val="24"/>
                <w:szCs w:val="24"/>
                <w:highlight w:val="none"/>
                <w:u w:val="none"/>
                <w:lang w:val="en-US" w:eastAsia="zh-CN" w:bidi="ar"/>
              </w:rPr>
              <w:t>12</w:t>
            </w:r>
            <w:r>
              <w:rPr>
                <w:rFonts w:hint="default" w:ascii="Times New Roman" w:hAnsi="Times New Roman" w:eastAsia="宋体" w:cs="Times New Roman"/>
                <w:i w:val="0"/>
                <w:color w:val="auto"/>
                <w:kern w:val="0"/>
                <w:sz w:val="24"/>
                <w:szCs w:val="24"/>
                <w:highlight w:val="none"/>
                <w:u w:val="none"/>
                <w:lang w:val="en-US" w:eastAsia="zh-CN" w:bidi="ar"/>
              </w:rPr>
              <w:t>条道路，共计里程</w:t>
            </w:r>
            <w:r>
              <w:rPr>
                <w:rFonts w:hint="eastAsia" w:ascii="Times New Roman" w:hAnsi="Times New Roman" w:eastAsia="宋体" w:cs="Times New Roman"/>
                <w:i w:val="0"/>
                <w:color w:val="auto"/>
                <w:kern w:val="0"/>
                <w:sz w:val="24"/>
                <w:szCs w:val="24"/>
                <w:highlight w:val="none"/>
                <w:u w:val="none"/>
                <w:lang w:val="en-US" w:eastAsia="zh-CN" w:bidi="ar"/>
              </w:rPr>
              <w:t>9.62KM</w:t>
            </w:r>
            <w:r>
              <w:rPr>
                <w:rFonts w:hint="default" w:ascii="Times New Roman" w:hAnsi="Times New Roman" w:eastAsia="宋体" w:cs="Times New Roman"/>
                <w:i w:val="0"/>
                <w:color w:val="auto"/>
                <w:kern w:val="0"/>
                <w:sz w:val="24"/>
                <w:szCs w:val="24"/>
                <w:highlight w:val="none"/>
                <w:u w:val="none"/>
                <w:lang w:val="en-US" w:eastAsia="zh-CN" w:bidi="ar"/>
              </w:rPr>
              <w:t>。海岸线生态修复包括建设内容为生态防洪堤建设、沿岸垃圾清理、堤内及堤外植被种植、内外水系统疏通（通海）和沙滩修复；新建自来水厂及配套管网。</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2026</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238000.00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21713.00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158287.00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（三）</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现代能源体系领域(</w:t>
            </w:r>
            <w:r>
              <w:rPr>
                <w:rFonts w:hint="eastAsia" w:ascii="Times New Roman" w:hAnsi="Times New Roman" w:eastAsia="宋体" w:cs="Times New Roman"/>
                <w:b/>
                <w:bCs/>
                <w:i w:val="0"/>
                <w:color w:val="auto"/>
                <w:kern w:val="0"/>
                <w:sz w:val="24"/>
                <w:szCs w:val="24"/>
                <w:highlight w:val="none"/>
                <w:u w:val="none"/>
                <w:lang w:val="en-US" w:eastAsia="zh-CN" w:bidi="ar"/>
              </w:rPr>
              <w:t>4</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220</w:t>
            </w:r>
            <w:r>
              <w:rPr>
                <w:rFonts w:hint="default" w:ascii="Times New Roman" w:hAnsi="Times New Roman" w:eastAsia="宋体" w:cs="Times New Roman"/>
                <w:i w:val="0"/>
                <w:color w:val="auto"/>
                <w:kern w:val="0"/>
                <w:sz w:val="24"/>
                <w:szCs w:val="24"/>
                <w:highlight w:val="none"/>
                <w:u w:val="none"/>
                <w:lang w:val="en-US" w:eastAsia="zh-CN" w:bidi="ar"/>
              </w:rPr>
              <w:t>千伏海东（岑霞）输变电工程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w:t>
            </w:r>
            <w:r>
              <w:rPr>
                <w:rFonts w:hint="eastAsia" w:ascii="Times New Roman" w:hAnsi="Times New Roman" w:eastAsia="宋体" w:cs="Times New Roman"/>
                <w:i w:val="0"/>
                <w:color w:val="auto"/>
                <w:kern w:val="0"/>
                <w:sz w:val="24"/>
                <w:szCs w:val="24"/>
                <w:highlight w:val="none"/>
                <w:u w:val="none"/>
                <w:lang w:val="en-US" w:eastAsia="zh-CN" w:bidi="ar"/>
              </w:rPr>
              <w:t>220KVGIS</w:t>
            </w:r>
            <w:r>
              <w:rPr>
                <w:rFonts w:hint="default" w:ascii="Times New Roman" w:hAnsi="Times New Roman" w:eastAsia="宋体" w:cs="Times New Roman"/>
                <w:i w:val="0"/>
                <w:color w:val="auto"/>
                <w:kern w:val="0"/>
                <w:sz w:val="24"/>
                <w:szCs w:val="24"/>
                <w:highlight w:val="none"/>
                <w:u w:val="none"/>
                <w:lang w:val="en-US" w:eastAsia="zh-CN" w:bidi="ar"/>
              </w:rPr>
              <w:t>变电站一座（终期规模</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180MVA</w:t>
            </w:r>
            <w:r>
              <w:rPr>
                <w:rFonts w:hint="default" w:ascii="Times New Roman" w:hAnsi="Times New Roman" w:eastAsia="宋体" w:cs="Times New Roman"/>
                <w:i w:val="0"/>
                <w:color w:val="auto"/>
                <w:kern w:val="0"/>
                <w:sz w:val="24"/>
                <w:szCs w:val="24"/>
                <w:highlight w:val="none"/>
                <w:u w:val="none"/>
                <w:lang w:val="en-US" w:eastAsia="zh-CN" w:bidi="ar"/>
              </w:rPr>
              <w:t>主变，本期规模</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180MVA</w:t>
            </w:r>
            <w:r>
              <w:rPr>
                <w:rFonts w:hint="default" w:ascii="Times New Roman" w:hAnsi="Times New Roman" w:eastAsia="宋体" w:cs="Times New Roman"/>
                <w:i w:val="0"/>
                <w:color w:val="auto"/>
                <w:kern w:val="0"/>
                <w:sz w:val="24"/>
                <w:szCs w:val="24"/>
                <w:highlight w:val="none"/>
                <w:u w:val="none"/>
                <w:lang w:val="en-US" w:eastAsia="zh-CN" w:bidi="ar"/>
              </w:rPr>
              <w:t>主变），新建</w:t>
            </w:r>
            <w:r>
              <w:rPr>
                <w:rFonts w:hint="eastAsia" w:ascii="Times New Roman" w:hAnsi="Times New Roman" w:eastAsia="宋体" w:cs="Times New Roman"/>
                <w:i w:val="0"/>
                <w:color w:val="auto"/>
                <w:kern w:val="0"/>
                <w:sz w:val="24"/>
                <w:szCs w:val="24"/>
                <w:highlight w:val="none"/>
                <w:u w:val="none"/>
                <w:lang w:val="en-US" w:eastAsia="zh-CN" w:bidi="ar"/>
              </w:rPr>
              <w:t>220KV</w:t>
            </w:r>
            <w:r>
              <w:rPr>
                <w:rFonts w:hint="default" w:ascii="Times New Roman" w:hAnsi="Times New Roman" w:eastAsia="宋体" w:cs="Times New Roman"/>
                <w:i w:val="0"/>
                <w:color w:val="auto"/>
                <w:kern w:val="0"/>
                <w:sz w:val="24"/>
                <w:szCs w:val="24"/>
                <w:highlight w:val="none"/>
                <w:u w:val="none"/>
                <w:lang w:val="en-US" w:eastAsia="zh-CN" w:bidi="ar"/>
              </w:rPr>
              <w:t>线路</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回长约</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62.7KM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110KV</w:t>
            </w:r>
            <w:r>
              <w:rPr>
                <w:rFonts w:hint="default" w:ascii="Times New Roman" w:hAnsi="Times New Roman" w:eastAsia="宋体" w:cs="Times New Roman"/>
                <w:i w:val="0"/>
                <w:color w:val="auto"/>
                <w:kern w:val="0"/>
                <w:sz w:val="24"/>
                <w:szCs w:val="24"/>
                <w:highlight w:val="none"/>
                <w:u w:val="none"/>
                <w:lang w:val="en-US" w:eastAsia="zh-CN" w:bidi="ar"/>
              </w:rPr>
              <w:t>线</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9KM</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40164.81</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40164.81</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w:t>
            </w:r>
            <w:r>
              <w:rPr>
                <w:rFonts w:hint="eastAsia" w:ascii="Times New Roman" w:hAnsi="Times New Roman" w:eastAsia="宋体" w:cs="Times New Roman"/>
                <w:i w:val="0"/>
                <w:color w:val="auto"/>
                <w:kern w:val="0"/>
                <w:sz w:val="24"/>
                <w:szCs w:val="24"/>
                <w:highlight w:val="none"/>
                <w:u w:val="none"/>
                <w:lang w:val="en-US" w:eastAsia="zh-CN" w:bidi="ar"/>
              </w:rPr>
              <w:t>110</w:t>
            </w:r>
            <w:r>
              <w:rPr>
                <w:rFonts w:hint="default" w:ascii="Times New Roman" w:hAnsi="Times New Roman" w:eastAsia="宋体" w:cs="Times New Roman"/>
                <w:i w:val="0"/>
                <w:color w:val="auto"/>
                <w:kern w:val="0"/>
                <w:sz w:val="24"/>
                <w:szCs w:val="24"/>
                <w:highlight w:val="none"/>
                <w:u w:val="none"/>
                <w:lang w:val="en-US" w:eastAsia="zh-CN" w:bidi="ar"/>
              </w:rPr>
              <w:t>千伏龙头输变电工程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（一）变电工程：全站按户内</w:t>
            </w:r>
            <w:r>
              <w:rPr>
                <w:rFonts w:hint="eastAsia" w:ascii="Times New Roman" w:hAnsi="Times New Roman" w:eastAsia="宋体" w:cs="Times New Roman"/>
                <w:i w:val="0"/>
                <w:color w:val="auto"/>
                <w:kern w:val="0"/>
                <w:sz w:val="24"/>
                <w:szCs w:val="24"/>
                <w:highlight w:val="none"/>
                <w:u w:val="none"/>
                <w:lang w:val="en-US" w:eastAsia="zh-CN" w:bidi="ar"/>
              </w:rPr>
              <w:t>GIS</w:t>
            </w:r>
            <w:r>
              <w:rPr>
                <w:rFonts w:hint="default" w:ascii="Times New Roman" w:hAnsi="Times New Roman" w:eastAsia="宋体" w:cs="Times New Roman"/>
                <w:i w:val="0"/>
                <w:color w:val="auto"/>
                <w:kern w:val="0"/>
                <w:sz w:val="24"/>
                <w:szCs w:val="24"/>
                <w:highlight w:val="none"/>
                <w:u w:val="none"/>
                <w:lang w:val="en-US" w:eastAsia="zh-CN" w:bidi="ar"/>
              </w:rPr>
              <w:t>设备建设，本期建设</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组</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万千伏安主变、</w:t>
            </w:r>
            <w:r>
              <w:rPr>
                <w:rFonts w:hint="eastAsia" w:ascii="Times New Roman" w:hAnsi="Times New Roman" w:eastAsia="宋体" w:cs="Times New Roman"/>
                <w:i w:val="0"/>
                <w:color w:val="auto"/>
                <w:kern w:val="0"/>
                <w:sz w:val="24"/>
                <w:szCs w:val="24"/>
                <w:highlight w:val="none"/>
                <w:u w:val="none"/>
                <w:lang w:val="en-US" w:eastAsia="zh-CN" w:bidi="ar"/>
              </w:rPr>
              <w:t>110</w:t>
            </w:r>
            <w:r>
              <w:rPr>
                <w:rFonts w:hint="default" w:ascii="Times New Roman" w:hAnsi="Times New Roman" w:eastAsia="宋体" w:cs="Times New Roman"/>
                <w:i w:val="0"/>
                <w:color w:val="auto"/>
                <w:kern w:val="0"/>
                <w:sz w:val="24"/>
                <w:szCs w:val="24"/>
                <w:highlight w:val="none"/>
                <w:u w:val="none"/>
                <w:lang w:val="en-US" w:eastAsia="zh-CN" w:bidi="ar"/>
              </w:rPr>
              <w:t>千伏出线</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回、</w:t>
            </w: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千伏出线</w:t>
            </w:r>
            <w:r>
              <w:rPr>
                <w:rFonts w:hint="eastAsia" w:ascii="Times New Roman" w:hAnsi="Times New Roman" w:eastAsia="宋体" w:cs="Times New Roman"/>
                <w:i w:val="0"/>
                <w:color w:val="auto"/>
                <w:kern w:val="0"/>
                <w:sz w:val="24"/>
                <w:szCs w:val="24"/>
                <w:highlight w:val="none"/>
                <w:u w:val="none"/>
                <w:lang w:val="en-US" w:eastAsia="zh-CN" w:bidi="ar"/>
              </w:rPr>
              <w:t>24</w:t>
            </w:r>
            <w:r>
              <w:rPr>
                <w:rFonts w:hint="default" w:ascii="Times New Roman" w:hAnsi="Times New Roman" w:eastAsia="宋体" w:cs="Times New Roman"/>
                <w:i w:val="0"/>
                <w:color w:val="auto"/>
                <w:kern w:val="0"/>
                <w:sz w:val="24"/>
                <w:szCs w:val="24"/>
                <w:highlight w:val="none"/>
                <w:u w:val="none"/>
                <w:lang w:val="en-US" w:eastAsia="zh-CN" w:bidi="ar"/>
              </w:rPr>
              <w:t>回，每组主变低压侧装设</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组</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兆乏电容器和</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组</w:t>
            </w:r>
            <w:r>
              <w:rPr>
                <w:rFonts w:hint="eastAsia" w:ascii="Times New Roman" w:hAnsi="Times New Roman" w:eastAsia="宋体" w:cs="Times New Roman"/>
                <w:i w:val="0"/>
                <w:color w:val="auto"/>
                <w:kern w:val="0"/>
                <w:sz w:val="24"/>
                <w:szCs w:val="24"/>
                <w:highlight w:val="none"/>
                <w:u w:val="none"/>
                <w:lang w:val="en-US" w:eastAsia="zh-CN" w:bidi="ar"/>
              </w:rPr>
              <w:t>2.4</w:t>
            </w:r>
            <w:r>
              <w:rPr>
                <w:rFonts w:hint="default" w:ascii="Times New Roman" w:hAnsi="Times New Roman" w:eastAsia="宋体" w:cs="Times New Roman"/>
                <w:i w:val="0"/>
                <w:color w:val="auto"/>
                <w:kern w:val="0"/>
                <w:sz w:val="24"/>
                <w:szCs w:val="24"/>
                <w:highlight w:val="none"/>
                <w:u w:val="none"/>
                <w:lang w:val="en-US" w:eastAsia="zh-CN" w:bidi="ar"/>
              </w:rPr>
              <w:t>兆乏电容器。（二）线路工程：解口</w:t>
            </w:r>
            <w:r>
              <w:rPr>
                <w:rFonts w:hint="eastAsia" w:ascii="Times New Roman" w:hAnsi="Times New Roman" w:eastAsia="宋体" w:cs="Times New Roman"/>
                <w:i w:val="0"/>
                <w:color w:val="auto"/>
                <w:kern w:val="0"/>
                <w:sz w:val="24"/>
                <w:szCs w:val="24"/>
                <w:highlight w:val="none"/>
                <w:u w:val="none"/>
                <w:lang w:val="en-US" w:eastAsia="zh-CN" w:bidi="ar"/>
              </w:rPr>
              <w:t>110</w:t>
            </w:r>
            <w:r>
              <w:rPr>
                <w:rFonts w:hint="default" w:ascii="Times New Roman" w:hAnsi="Times New Roman" w:eastAsia="宋体" w:cs="Times New Roman"/>
                <w:i w:val="0"/>
                <w:color w:val="auto"/>
                <w:kern w:val="0"/>
                <w:sz w:val="24"/>
                <w:szCs w:val="24"/>
                <w:highlight w:val="none"/>
                <w:u w:val="none"/>
                <w:lang w:val="en-US" w:eastAsia="zh-CN" w:bidi="ar"/>
              </w:rPr>
              <w:t>千伏坡头至田头单回线路接入龙头站，形成龙头站至坡头站、龙头站至田头站各</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回线路；新建</w:t>
            </w:r>
            <w:r>
              <w:rPr>
                <w:rFonts w:hint="eastAsia" w:ascii="Times New Roman" w:hAnsi="Times New Roman" w:eastAsia="宋体" w:cs="Times New Roman"/>
                <w:i w:val="0"/>
                <w:color w:val="auto"/>
                <w:kern w:val="0"/>
                <w:sz w:val="24"/>
                <w:szCs w:val="24"/>
                <w:highlight w:val="none"/>
                <w:u w:val="none"/>
                <w:lang w:val="en-US" w:eastAsia="zh-CN" w:bidi="ar"/>
              </w:rPr>
              <w:t>110</w:t>
            </w:r>
            <w:r>
              <w:rPr>
                <w:rFonts w:hint="default" w:ascii="Times New Roman" w:hAnsi="Times New Roman" w:eastAsia="宋体" w:cs="Times New Roman"/>
                <w:i w:val="0"/>
                <w:color w:val="auto"/>
                <w:kern w:val="0"/>
                <w:sz w:val="24"/>
                <w:szCs w:val="24"/>
                <w:highlight w:val="none"/>
                <w:u w:val="none"/>
                <w:lang w:val="en-US" w:eastAsia="zh-CN" w:bidi="ar"/>
              </w:rPr>
              <w:t>千伏同塔双回线路挂单回导线长约</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8.6</w:t>
            </w:r>
            <w:r>
              <w:rPr>
                <w:rFonts w:hint="default" w:ascii="Times New Roman" w:hAnsi="Times New Roman" w:eastAsia="宋体" w:cs="Times New Roman"/>
                <w:i w:val="0"/>
                <w:color w:val="auto"/>
                <w:kern w:val="0"/>
                <w:sz w:val="24"/>
                <w:szCs w:val="24"/>
                <w:highlight w:val="none"/>
                <w:u w:val="none"/>
                <w:lang w:val="en-US" w:eastAsia="zh-CN" w:bidi="ar"/>
              </w:rPr>
              <w:t>千米，导线截面采用</w:t>
            </w:r>
            <w:r>
              <w:rPr>
                <w:rFonts w:hint="eastAsia" w:ascii="Times New Roman" w:hAnsi="Times New Roman" w:eastAsia="宋体" w:cs="Times New Roman"/>
                <w:i w:val="0"/>
                <w:color w:val="auto"/>
                <w:kern w:val="0"/>
                <w:sz w:val="24"/>
                <w:szCs w:val="24"/>
                <w:highlight w:val="none"/>
                <w:u w:val="none"/>
                <w:lang w:val="en-US" w:eastAsia="zh-CN" w:bidi="ar"/>
              </w:rPr>
              <w:t>300</w:t>
            </w:r>
            <w:r>
              <w:rPr>
                <w:rFonts w:hint="default" w:ascii="Times New Roman" w:hAnsi="Times New Roman" w:eastAsia="宋体" w:cs="Times New Roman"/>
                <w:i w:val="0"/>
                <w:color w:val="auto"/>
                <w:kern w:val="0"/>
                <w:sz w:val="24"/>
                <w:szCs w:val="24"/>
                <w:highlight w:val="none"/>
                <w:u w:val="none"/>
                <w:lang w:val="en-US" w:eastAsia="zh-CN" w:bidi="ar"/>
              </w:rPr>
              <w:t>平方毫米。（三）建设配套的通信光缆及二次系统工程。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7037.00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6787.00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110</w:t>
            </w:r>
            <w:r>
              <w:rPr>
                <w:rFonts w:hint="default" w:ascii="Times New Roman" w:hAnsi="Times New Roman" w:eastAsia="宋体" w:cs="Times New Roman"/>
                <w:i w:val="0"/>
                <w:color w:val="auto"/>
                <w:kern w:val="0"/>
                <w:sz w:val="24"/>
                <w:szCs w:val="24"/>
                <w:highlight w:val="none"/>
                <w:u w:val="none"/>
                <w:lang w:val="en-US" w:eastAsia="zh-CN" w:bidi="ar"/>
              </w:rPr>
              <w:t>千伏乾塘输变电工程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110KV</w:t>
            </w:r>
            <w:r>
              <w:rPr>
                <w:rFonts w:hint="default" w:ascii="Times New Roman" w:hAnsi="Times New Roman" w:eastAsia="宋体" w:cs="Times New Roman"/>
                <w:i w:val="0"/>
                <w:color w:val="auto"/>
                <w:kern w:val="0"/>
                <w:sz w:val="24"/>
                <w:szCs w:val="24"/>
                <w:highlight w:val="none"/>
                <w:u w:val="none"/>
                <w:lang w:val="en-US" w:eastAsia="zh-CN" w:bidi="ar"/>
              </w:rPr>
              <w:t>乾塘变电站本期工程建设</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台</w:t>
            </w:r>
            <w:r>
              <w:rPr>
                <w:rFonts w:hint="eastAsia" w:ascii="Times New Roman" w:hAnsi="Times New Roman" w:eastAsia="宋体" w:cs="Times New Roman"/>
                <w:i w:val="0"/>
                <w:color w:val="auto"/>
                <w:kern w:val="0"/>
                <w:sz w:val="24"/>
                <w:szCs w:val="24"/>
                <w:highlight w:val="none"/>
                <w:u w:val="none"/>
                <w:lang w:val="en-US" w:eastAsia="zh-CN" w:bidi="ar"/>
              </w:rPr>
              <w:t>20MVA</w:t>
            </w:r>
            <w:r>
              <w:rPr>
                <w:rFonts w:hint="default" w:ascii="Times New Roman" w:hAnsi="Times New Roman" w:eastAsia="宋体" w:cs="Times New Roman"/>
                <w:i w:val="0"/>
                <w:color w:val="auto"/>
                <w:kern w:val="0"/>
                <w:sz w:val="24"/>
                <w:szCs w:val="24"/>
                <w:highlight w:val="none"/>
                <w:u w:val="none"/>
                <w:lang w:val="en-US" w:eastAsia="zh-CN" w:bidi="ar"/>
              </w:rPr>
              <w:t>主变（终期</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台</w:t>
            </w:r>
            <w:r>
              <w:rPr>
                <w:rFonts w:hint="eastAsia" w:ascii="Times New Roman" w:hAnsi="Times New Roman" w:eastAsia="宋体" w:cs="Times New Roman"/>
                <w:i w:val="0"/>
                <w:color w:val="auto"/>
                <w:kern w:val="0"/>
                <w:sz w:val="24"/>
                <w:szCs w:val="24"/>
                <w:highlight w:val="none"/>
                <w:u w:val="none"/>
                <w:lang w:val="en-US" w:eastAsia="zh-CN" w:bidi="ar"/>
              </w:rPr>
              <w:t>40MVA</w:t>
            </w:r>
            <w:r>
              <w:rPr>
                <w:rFonts w:hint="default" w:ascii="Times New Roman" w:hAnsi="Times New Roman" w:eastAsia="宋体" w:cs="Times New Roman"/>
                <w:i w:val="0"/>
                <w:color w:val="auto"/>
                <w:kern w:val="0"/>
                <w:sz w:val="24"/>
                <w:szCs w:val="24"/>
                <w:highlight w:val="none"/>
                <w:u w:val="none"/>
                <w:lang w:val="en-US" w:eastAsia="zh-CN" w:bidi="ar"/>
              </w:rPr>
              <w:t>主变），</w:t>
            </w:r>
            <w:r>
              <w:rPr>
                <w:rFonts w:hint="eastAsia" w:ascii="Times New Roman" w:hAnsi="Times New Roman" w:eastAsia="宋体" w:cs="Times New Roman"/>
                <w:i w:val="0"/>
                <w:color w:val="auto"/>
                <w:kern w:val="0"/>
                <w:sz w:val="24"/>
                <w:szCs w:val="24"/>
                <w:highlight w:val="none"/>
                <w:u w:val="none"/>
                <w:lang w:val="en-US" w:eastAsia="zh-CN" w:bidi="ar"/>
              </w:rPr>
              <w:t>110KV</w:t>
            </w:r>
            <w:r>
              <w:rPr>
                <w:rFonts w:hint="default" w:ascii="Times New Roman" w:hAnsi="Times New Roman" w:eastAsia="宋体" w:cs="Times New Roman"/>
                <w:i w:val="0"/>
                <w:color w:val="auto"/>
                <w:kern w:val="0"/>
                <w:sz w:val="24"/>
                <w:szCs w:val="24"/>
                <w:highlight w:val="none"/>
                <w:u w:val="none"/>
                <w:lang w:val="en-US" w:eastAsia="zh-CN" w:bidi="ar"/>
              </w:rPr>
              <w:t>出线本期</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回（终期</w:t>
            </w:r>
            <w:r>
              <w:rPr>
                <w:rFonts w:hint="eastAsia" w:ascii="Times New Roman" w:hAnsi="Times New Roman" w:eastAsia="宋体" w:cs="Times New Roman"/>
                <w:i w:val="0"/>
                <w:color w:val="auto"/>
                <w:kern w:val="0"/>
                <w:sz w:val="24"/>
                <w:szCs w:val="24"/>
                <w:highlight w:val="none"/>
                <w:u w:val="none"/>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回），</w:t>
            </w:r>
            <w:r>
              <w:rPr>
                <w:rFonts w:hint="eastAsia" w:ascii="Times New Roman" w:hAnsi="Times New Roman" w:eastAsia="宋体" w:cs="Times New Roman"/>
                <w:i w:val="0"/>
                <w:color w:val="auto"/>
                <w:kern w:val="0"/>
                <w:sz w:val="24"/>
                <w:szCs w:val="24"/>
                <w:highlight w:val="none"/>
                <w:u w:val="none"/>
                <w:lang w:val="en-US" w:eastAsia="zh-CN" w:bidi="ar"/>
              </w:rPr>
              <w:t>10KV</w:t>
            </w:r>
            <w:r>
              <w:rPr>
                <w:rFonts w:hint="default" w:ascii="Times New Roman" w:hAnsi="Times New Roman" w:eastAsia="宋体" w:cs="Times New Roman"/>
                <w:i w:val="0"/>
                <w:color w:val="auto"/>
                <w:kern w:val="0"/>
                <w:sz w:val="24"/>
                <w:szCs w:val="24"/>
                <w:highlight w:val="none"/>
                <w:u w:val="none"/>
                <w:lang w:val="en-US" w:eastAsia="zh-CN" w:bidi="ar"/>
              </w:rPr>
              <w:t>出线本期</w:t>
            </w:r>
            <w:r>
              <w:rPr>
                <w:rFonts w:hint="eastAsia" w:ascii="Times New Roman" w:hAnsi="Times New Roman" w:eastAsia="宋体" w:cs="Times New Roman"/>
                <w:i w:val="0"/>
                <w:color w:val="auto"/>
                <w:kern w:val="0"/>
                <w:sz w:val="24"/>
                <w:szCs w:val="24"/>
                <w:highlight w:val="none"/>
                <w:u w:val="none"/>
                <w:lang w:val="en-US" w:eastAsia="zh-CN" w:bidi="ar"/>
              </w:rPr>
              <w:t>24</w:t>
            </w:r>
            <w:r>
              <w:rPr>
                <w:rFonts w:hint="default" w:ascii="Times New Roman" w:hAnsi="Times New Roman" w:eastAsia="宋体" w:cs="Times New Roman"/>
                <w:i w:val="0"/>
                <w:color w:val="auto"/>
                <w:kern w:val="0"/>
                <w:sz w:val="24"/>
                <w:szCs w:val="24"/>
                <w:highlight w:val="none"/>
                <w:u w:val="none"/>
                <w:lang w:val="en-US" w:eastAsia="zh-CN" w:bidi="ar"/>
              </w:rPr>
              <w:t>回（终期</w:t>
            </w:r>
            <w:r>
              <w:rPr>
                <w:rFonts w:hint="eastAsia" w:ascii="Times New Roman" w:hAnsi="Times New Roman" w:eastAsia="宋体" w:cs="Times New Roman"/>
                <w:i w:val="0"/>
                <w:color w:val="auto"/>
                <w:kern w:val="0"/>
                <w:sz w:val="24"/>
                <w:szCs w:val="24"/>
                <w:highlight w:val="none"/>
                <w:u w:val="none"/>
                <w:lang w:val="en-US" w:eastAsia="zh-CN" w:bidi="ar"/>
              </w:rPr>
              <w:t>36</w:t>
            </w:r>
            <w:r>
              <w:rPr>
                <w:rFonts w:hint="default" w:ascii="Times New Roman" w:hAnsi="Times New Roman" w:eastAsia="宋体" w:cs="Times New Roman"/>
                <w:i w:val="0"/>
                <w:color w:val="auto"/>
                <w:kern w:val="0"/>
                <w:sz w:val="24"/>
                <w:szCs w:val="24"/>
                <w:highlight w:val="none"/>
                <w:u w:val="none"/>
                <w:lang w:val="en-US" w:eastAsia="zh-CN" w:bidi="ar"/>
              </w:rPr>
              <w:t>回）。线路部分：新建乾塘站至</w:t>
            </w:r>
            <w:r>
              <w:rPr>
                <w:rFonts w:hint="eastAsia" w:ascii="Times New Roman" w:hAnsi="Times New Roman" w:eastAsia="宋体" w:cs="Times New Roman"/>
                <w:i w:val="0"/>
                <w:color w:val="auto"/>
                <w:kern w:val="0"/>
                <w:sz w:val="24"/>
                <w:szCs w:val="24"/>
                <w:highlight w:val="none"/>
                <w:u w:val="none"/>
                <w:lang w:val="en-US" w:eastAsia="zh-CN" w:bidi="ar"/>
              </w:rPr>
              <w:t>110KV</w:t>
            </w:r>
            <w:r>
              <w:rPr>
                <w:rFonts w:hint="default" w:ascii="Times New Roman" w:hAnsi="Times New Roman" w:eastAsia="宋体" w:cs="Times New Roman"/>
                <w:i w:val="0"/>
                <w:color w:val="auto"/>
                <w:kern w:val="0"/>
                <w:sz w:val="24"/>
                <w:szCs w:val="24"/>
                <w:highlight w:val="none"/>
                <w:u w:val="none"/>
                <w:lang w:val="en-US" w:eastAsia="zh-CN" w:bidi="ar"/>
              </w:rPr>
              <w:t>坡田甲线解口点两回架空线路，架空线路路径长度约为</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8</w:t>
            </w:r>
            <w:r>
              <w:rPr>
                <w:rFonts w:hint="default" w:ascii="Times New Roman" w:hAnsi="Times New Roman" w:eastAsia="宋体" w:cs="Times New Roman"/>
                <w:i w:val="0"/>
                <w:color w:val="auto"/>
                <w:kern w:val="0"/>
                <w:sz w:val="24"/>
                <w:szCs w:val="24"/>
                <w:highlight w:val="none"/>
                <w:u w:val="none"/>
                <w:lang w:val="en-US" w:eastAsia="zh-CN" w:bidi="ar"/>
              </w:rPr>
              <w:t>千米。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6469.09</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6469.09</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南三岛管道燃气项目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建设供气规模</w:t>
            </w:r>
            <w:r>
              <w:rPr>
                <w:rFonts w:hint="eastAsia" w:ascii="Times New Roman" w:hAnsi="Times New Roman" w:eastAsia="宋体" w:cs="Times New Roman"/>
                <w:i w:val="0"/>
                <w:color w:val="auto"/>
                <w:kern w:val="0"/>
                <w:sz w:val="24"/>
                <w:szCs w:val="24"/>
                <w:highlight w:val="none"/>
                <w:u w:val="none"/>
                <w:lang w:val="en-US" w:eastAsia="zh-CN" w:bidi="ar"/>
              </w:rPr>
              <w:t>12</w:t>
            </w:r>
            <w:r>
              <w:rPr>
                <w:rFonts w:hint="default" w:ascii="Times New Roman" w:hAnsi="Times New Roman" w:eastAsia="宋体" w:cs="Times New Roman"/>
                <w:i w:val="0"/>
                <w:color w:val="auto"/>
                <w:kern w:val="0"/>
                <w:sz w:val="24"/>
                <w:szCs w:val="24"/>
                <w:highlight w:val="none"/>
                <w:u w:val="none"/>
                <w:lang w:val="en-US" w:eastAsia="zh-CN" w:bidi="ar"/>
              </w:rPr>
              <w:t>万立方/日的</w:t>
            </w:r>
            <w:r>
              <w:rPr>
                <w:rFonts w:hint="eastAsia" w:ascii="Times New Roman" w:hAnsi="Times New Roman" w:eastAsia="宋体" w:cs="Times New Roman"/>
                <w:i w:val="0"/>
                <w:color w:val="auto"/>
                <w:kern w:val="0"/>
                <w:sz w:val="24"/>
                <w:szCs w:val="24"/>
                <w:highlight w:val="none"/>
                <w:u w:val="none"/>
                <w:lang w:val="en-US" w:eastAsia="zh-CN" w:bidi="ar"/>
              </w:rPr>
              <w:t>LNG</w:t>
            </w:r>
            <w:r>
              <w:rPr>
                <w:rFonts w:hint="default" w:ascii="Times New Roman" w:hAnsi="Times New Roman" w:eastAsia="宋体" w:cs="Times New Roman"/>
                <w:i w:val="0"/>
                <w:color w:val="auto"/>
                <w:kern w:val="0"/>
                <w:sz w:val="24"/>
                <w:szCs w:val="24"/>
                <w:highlight w:val="none"/>
                <w:u w:val="none"/>
                <w:lang w:val="en-US" w:eastAsia="zh-CN" w:bidi="ar"/>
              </w:rPr>
              <w:t>气化站和铺设燃气管网，占地面积</w:t>
            </w:r>
            <w:r>
              <w:rPr>
                <w:rFonts w:hint="eastAsia" w:ascii="Times New Roman" w:hAnsi="Times New Roman" w:eastAsia="宋体" w:cs="Times New Roman"/>
                <w:i w:val="0"/>
                <w:color w:val="auto"/>
                <w:kern w:val="0"/>
                <w:sz w:val="24"/>
                <w:szCs w:val="24"/>
                <w:highlight w:val="none"/>
                <w:u w:val="none"/>
                <w:lang w:val="en-US" w:eastAsia="zh-CN" w:bidi="ar"/>
              </w:rPr>
              <w:t>15</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（四）</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机场工程</w:t>
            </w:r>
            <w:r>
              <w:rPr>
                <w:rFonts w:hint="eastAsia" w:eastAsia="宋体" w:cs="Times New Roman"/>
                <w:b/>
                <w:bCs/>
                <w:i w:val="0"/>
                <w:color w:val="auto"/>
                <w:kern w:val="0"/>
                <w:sz w:val="24"/>
                <w:szCs w:val="24"/>
                <w:highlight w:val="none"/>
                <w:u w:val="none"/>
                <w:lang w:val="en-US" w:eastAsia="zh-CN" w:bidi="ar"/>
              </w:rPr>
              <w:t>项目</w:t>
            </w:r>
            <w:r>
              <w:rPr>
                <w:rFonts w:hint="default" w:ascii="Times New Roman" w:hAnsi="Times New Roman" w:eastAsia="宋体" w:cs="Times New Roman"/>
                <w:b/>
                <w:bCs/>
                <w:i w:val="0"/>
                <w:color w:val="auto"/>
                <w:kern w:val="0"/>
                <w:sz w:val="24"/>
                <w:szCs w:val="24"/>
                <w:highlight w:val="none"/>
                <w:u w:val="none"/>
                <w:lang w:val="en-US" w:eastAsia="zh-CN" w:bidi="ar"/>
              </w:rPr>
              <w:t>(</w:t>
            </w:r>
            <w:r>
              <w:rPr>
                <w:rFonts w:hint="eastAsia" w:ascii="Times New Roman" w:hAnsi="Times New Roman" w:eastAsia="宋体" w:cs="Times New Roman"/>
                <w:b/>
                <w:bCs/>
                <w:i w:val="0"/>
                <w:color w:val="auto"/>
                <w:kern w:val="0"/>
                <w:sz w:val="24"/>
                <w:szCs w:val="24"/>
                <w:highlight w:val="none"/>
                <w:u w:val="none"/>
                <w:lang w:val="en-US" w:eastAsia="zh-CN" w:bidi="ar"/>
              </w:rPr>
              <w:t>2</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机场迁建项目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整体规划</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平方公里：</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机场设施（塔台、候机楼、跑道、停机坪）-</w:t>
            </w:r>
            <w:r>
              <w:rPr>
                <w:rFonts w:hint="eastAsia" w:ascii="Times New Roman" w:hAnsi="Times New Roman" w:eastAsia="宋体" w:cs="Times New Roman"/>
                <w:i w:val="0"/>
                <w:color w:val="auto"/>
                <w:kern w:val="0"/>
                <w:sz w:val="24"/>
                <w:szCs w:val="24"/>
                <w:highlight w:val="none"/>
                <w:u w:val="none"/>
                <w:lang w:val="en-US" w:eastAsia="zh-CN" w:bidi="ar"/>
              </w:rPr>
              <w:t>23</w:t>
            </w:r>
            <w:r>
              <w:rPr>
                <w:rFonts w:hint="default" w:ascii="Times New Roman" w:hAnsi="Times New Roman" w:eastAsia="宋体" w:cs="Times New Roman"/>
                <w:i w:val="0"/>
                <w:color w:val="auto"/>
                <w:kern w:val="0"/>
                <w:sz w:val="24"/>
                <w:szCs w:val="24"/>
                <w:highlight w:val="none"/>
                <w:u w:val="none"/>
                <w:lang w:val="en-US" w:eastAsia="zh-CN" w:bidi="ar"/>
              </w:rPr>
              <w:t>万平米，投资</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亿元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）产业用地-</w:t>
            </w:r>
            <w:r>
              <w:rPr>
                <w:rFonts w:hint="eastAsia" w:ascii="Times New Roman" w:hAnsi="Times New Roman" w:eastAsia="宋体" w:cs="Times New Roman"/>
                <w:i w:val="0"/>
                <w:color w:val="auto"/>
                <w:kern w:val="0"/>
                <w:sz w:val="24"/>
                <w:szCs w:val="24"/>
                <w:highlight w:val="none"/>
                <w:u w:val="none"/>
                <w:lang w:val="en-US" w:eastAsia="zh-CN" w:bidi="ar"/>
              </w:rPr>
              <w:t>2000</w:t>
            </w:r>
            <w:r>
              <w:rPr>
                <w:rFonts w:hint="default" w:ascii="Times New Roman" w:hAnsi="Times New Roman" w:eastAsia="宋体" w:cs="Times New Roman"/>
                <w:i w:val="0"/>
                <w:color w:val="auto"/>
                <w:kern w:val="0"/>
                <w:sz w:val="24"/>
                <w:szCs w:val="24"/>
                <w:highlight w:val="none"/>
                <w:u w:val="none"/>
                <w:lang w:val="en-US" w:eastAsia="zh-CN" w:bidi="ar"/>
              </w:rPr>
              <w:t>亩，投资</w:t>
            </w:r>
            <w:r>
              <w:rPr>
                <w:rFonts w:hint="eastAsia" w:ascii="Times New Roman" w:hAnsi="Times New Roman" w:eastAsia="宋体" w:cs="Times New Roman"/>
                <w:i w:val="0"/>
                <w:color w:val="auto"/>
                <w:kern w:val="0"/>
                <w:sz w:val="24"/>
                <w:szCs w:val="24"/>
                <w:highlight w:val="none"/>
                <w:u w:val="none"/>
                <w:lang w:val="en-US" w:eastAsia="zh-CN" w:bidi="ar"/>
              </w:rPr>
              <w:t>40</w:t>
            </w:r>
            <w:r>
              <w:rPr>
                <w:rFonts w:hint="default" w:ascii="Times New Roman" w:hAnsi="Times New Roman" w:eastAsia="宋体" w:cs="Times New Roman"/>
                <w:i w:val="0"/>
                <w:color w:val="auto"/>
                <w:kern w:val="0"/>
                <w:sz w:val="24"/>
                <w:szCs w:val="24"/>
                <w:highlight w:val="none"/>
                <w:u w:val="none"/>
                <w:lang w:val="en-US" w:eastAsia="zh-CN" w:bidi="ar"/>
              </w:rPr>
              <w:t>亿元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●飞行器及零部件制造基地</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●航空销售中心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●航空运营中心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●航空培训中心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●航空主题乐园</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●航空配套生活区</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2025</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2030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民航湛江空管站湛江终端管制中心</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建设湛江终端管制中心管制楼和后勤保障用房等，总建筑面积</w:t>
            </w:r>
            <w:r>
              <w:rPr>
                <w:rFonts w:hint="eastAsia" w:ascii="Times New Roman" w:hAnsi="Times New Roman" w:eastAsia="宋体" w:cs="Times New Roman"/>
                <w:i w:val="0"/>
                <w:color w:val="auto"/>
                <w:kern w:val="0"/>
                <w:sz w:val="24"/>
                <w:szCs w:val="24"/>
                <w:highlight w:val="none"/>
                <w:u w:val="none"/>
                <w:lang w:val="en-US" w:eastAsia="zh-CN" w:bidi="ar"/>
              </w:rPr>
              <w:t>1.3528</w:t>
            </w:r>
            <w:r>
              <w:rPr>
                <w:rFonts w:hint="default" w:ascii="Times New Roman" w:hAnsi="Times New Roman" w:eastAsia="宋体" w:cs="Times New Roman"/>
                <w:i w:val="0"/>
                <w:color w:val="auto"/>
                <w:kern w:val="0"/>
                <w:sz w:val="24"/>
                <w:szCs w:val="24"/>
                <w:highlight w:val="none"/>
                <w:u w:val="none"/>
                <w:lang w:val="en-US" w:eastAsia="zh-CN" w:bidi="ar"/>
              </w:rPr>
              <w:t>万平方米，配套建设给排水、消防、安防、供配电等附属工程。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46449</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16517</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29932</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（五）</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市政基础设施（</w:t>
            </w:r>
            <w:r>
              <w:rPr>
                <w:rFonts w:hint="eastAsia" w:ascii="Times New Roman" w:hAnsi="Times New Roman" w:eastAsia="宋体" w:cs="Times New Roman"/>
                <w:b/>
                <w:bCs/>
                <w:i w:val="0"/>
                <w:color w:val="auto"/>
                <w:kern w:val="0"/>
                <w:sz w:val="24"/>
                <w:szCs w:val="24"/>
                <w:highlight w:val="none"/>
                <w:u w:val="none"/>
                <w:lang w:val="en-US" w:eastAsia="zh-CN" w:bidi="ar"/>
              </w:rPr>
              <w:t>3</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49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海东新区公交客运枢纽站</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按国家一级客运站规划建设，占地约</w:t>
            </w:r>
            <w:r>
              <w:rPr>
                <w:rFonts w:hint="eastAsia" w:ascii="Times New Roman" w:hAnsi="Times New Roman" w:eastAsia="宋体" w:cs="Times New Roman"/>
                <w:i w:val="0"/>
                <w:color w:val="auto"/>
                <w:kern w:val="0"/>
                <w:sz w:val="24"/>
                <w:szCs w:val="24"/>
                <w:highlight w:val="none"/>
                <w:u w:val="none"/>
                <w:lang w:val="en-US" w:eastAsia="zh-CN" w:bidi="ar"/>
              </w:rPr>
              <w:t>120</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2025</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2027</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湛江海洋湿地公园（国防教育基地）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主要内容：①海岸带综合保护与利用；②海岛的生态保护，如白沙岛进行独立保护；③现有湿地的保护与利用；④滨海生态旅游开发，如打造一个亚热带特色的花海或森林、后期利用绿道开展迷你马拉松赛事；⑤配套基础设施，如游客中心（停车场、便利商铺等）、五岛一湾码头建设、科普展览馆（划定单独区域进行海洋湿地科普、海油钻探科普、海军军事主题科普、海上装备展示场地）。分两期进行建设：第一期：龙王湾海洋湿地公园规划建设范围大约为</w:t>
            </w:r>
            <w:r>
              <w:rPr>
                <w:rFonts w:hint="eastAsia" w:ascii="Times New Roman" w:hAnsi="Times New Roman" w:eastAsia="宋体" w:cs="Times New Roman"/>
                <w:i w:val="0"/>
                <w:color w:val="auto"/>
                <w:kern w:val="0"/>
                <w:sz w:val="24"/>
                <w:szCs w:val="24"/>
                <w:highlight w:val="none"/>
                <w:u w:val="none"/>
                <w:lang w:val="en-US" w:eastAsia="zh-CN" w:bidi="ar"/>
              </w:rPr>
              <w:t>2650</w:t>
            </w:r>
            <w:r>
              <w:rPr>
                <w:rFonts w:hint="default" w:ascii="Times New Roman" w:hAnsi="Times New Roman" w:eastAsia="宋体" w:cs="Times New Roman"/>
                <w:i w:val="0"/>
                <w:color w:val="auto"/>
                <w:kern w:val="0"/>
                <w:sz w:val="24"/>
                <w:szCs w:val="24"/>
                <w:highlight w:val="none"/>
                <w:u w:val="none"/>
                <w:lang w:val="en-US" w:eastAsia="zh-CN" w:bidi="ar"/>
              </w:rPr>
              <w:t>亩，主要为龙王湾路北侧土地部分（详见附图蓝色区域），其中海域面积</w:t>
            </w:r>
            <w:r>
              <w:rPr>
                <w:rFonts w:hint="eastAsia" w:ascii="Times New Roman" w:hAnsi="Times New Roman" w:eastAsia="宋体" w:cs="Times New Roman"/>
                <w:i w:val="0"/>
                <w:color w:val="auto"/>
                <w:kern w:val="0"/>
                <w:sz w:val="24"/>
                <w:szCs w:val="24"/>
                <w:highlight w:val="none"/>
                <w:u w:val="none"/>
                <w:lang w:val="en-US" w:eastAsia="zh-CN" w:bidi="ar"/>
              </w:rPr>
              <w:t>1145</w:t>
            </w:r>
            <w:r>
              <w:rPr>
                <w:rFonts w:hint="default" w:ascii="Times New Roman" w:hAnsi="Times New Roman" w:eastAsia="宋体" w:cs="Times New Roman"/>
                <w:i w:val="0"/>
                <w:color w:val="auto"/>
                <w:kern w:val="0"/>
                <w:sz w:val="24"/>
                <w:szCs w:val="24"/>
                <w:highlight w:val="none"/>
                <w:u w:val="none"/>
                <w:lang w:val="en-US" w:eastAsia="zh-CN" w:bidi="ar"/>
              </w:rPr>
              <w:t>亩，陆地面积</w:t>
            </w:r>
            <w:r>
              <w:rPr>
                <w:rFonts w:hint="eastAsia" w:ascii="Times New Roman" w:hAnsi="Times New Roman" w:eastAsia="宋体" w:cs="Times New Roman"/>
                <w:i w:val="0"/>
                <w:color w:val="auto"/>
                <w:kern w:val="0"/>
                <w:sz w:val="24"/>
                <w:szCs w:val="24"/>
                <w:highlight w:val="none"/>
                <w:u w:val="none"/>
                <w:lang w:val="en-US" w:eastAsia="zh-CN" w:bidi="ar"/>
              </w:rPr>
              <w:t>81</w:t>
            </w:r>
            <w:r>
              <w:rPr>
                <w:rFonts w:hint="default" w:ascii="Times New Roman" w:hAnsi="Times New Roman" w:eastAsia="宋体" w:cs="Times New Roman"/>
                <w:i w:val="0"/>
                <w:color w:val="auto"/>
                <w:kern w:val="0"/>
                <w:sz w:val="24"/>
                <w:szCs w:val="24"/>
                <w:highlight w:val="none"/>
                <w:u w:val="none"/>
                <w:lang w:val="en-US" w:eastAsia="zh-CN" w:bidi="ar"/>
              </w:rPr>
              <w:t>亩，滩涂面积</w:t>
            </w:r>
            <w:r>
              <w:rPr>
                <w:rFonts w:hint="eastAsia" w:ascii="Times New Roman" w:hAnsi="Times New Roman" w:eastAsia="宋体" w:cs="Times New Roman"/>
                <w:i w:val="0"/>
                <w:color w:val="auto"/>
                <w:kern w:val="0"/>
                <w:sz w:val="24"/>
                <w:szCs w:val="24"/>
                <w:highlight w:val="none"/>
                <w:u w:val="none"/>
                <w:lang w:val="en-US" w:eastAsia="zh-CN" w:bidi="ar"/>
              </w:rPr>
              <w:t>98</w:t>
            </w:r>
            <w:r>
              <w:rPr>
                <w:rFonts w:hint="default" w:ascii="Times New Roman" w:hAnsi="Times New Roman" w:eastAsia="宋体" w:cs="Times New Roman"/>
                <w:i w:val="0"/>
                <w:color w:val="auto"/>
                <w:kern w:val="0"/>
                <w:sz w:val="24"/>
                <w:szCs w:val="24"/>
                <w:highlight w:val="none"/>
                <w:u w:val="none"/>
                <w:lang w:val="en-US" w:eastAsia="zh-CN" w:bidi="ar"/>
              </w:rPr>
              <w:t>亩，鱼（虾）塘面积</w:t>
            </w:r>
            <w:r>
              <w:rPr>
                <w:rFonts w:hint="eastAsia" w:ascii="Times New Roman" w:hAnsi="Times New Roman" w:eastAsia="宋体" w:cs="Times New Roman"/>
                <w:i w:val="0"/>
                <w:color w:val="auto"/>
                <w:kern w:val="0"/>
                <w:sz w:val="24"/>
                <w:szCs w:val="24"/>
                <w:highlight w:val="none"/>
                <w:u w:val="none"/>
                <w:lang w:val="en-US" w:eastAsia="zh-CN" w:bidi="ar"/>
              </w:rPr>
              <w:t>1326</w:t>
            </w:r>
            <w:r>
              <w:rPr>
                <w:rFonts w:hint="default" w:ascii="Times New Roman" w:hAnsi="Times New Roman" w:eastAsia="宋体" w:cs="Times New Roman"/>
                <w:i w:val="0"/>
                <w:color w:val="auto"/>
                <w:kern w:val="0"/>
                <w:sz w:val="24"/>
                <w:szCs w:val="24"/>
                <w:highlight w:val="none"/>
                <w:u w:val="none"/>
                <w:lang w:val="en-US" w:eastAsia="zh-CN" w:bidi="ar"/>
              </w:rPr>
              <w:t>亩。第二期：龙王湾海洋湿地公园划建设范围大约为</w:t>
            </w:r>
            <w:r>
              <w:rPr>
                <w:rFonts w:hint="eastAsia" w:ascii="Times New Roman" w:hAnsi="Times New Roman" w:eastAsia="宋体" w:cs="Times New Roman"/>
                <w:i w:val="0"/>
                <w:color w:val="auto"/>
                <w:kern w:val="0"/>
                <w:sz w:val="24"/>
                <w:szCs w:val="24"/>
                <w:highlight w:val="none"/>
                <w:u w:val="none"/>
                <w:lang w:val="en-US" w:eastAsia="zh-CN" w:bidi="ar"/>
              </w:rPr>
              <w:t>817</w:t>
            </w:r>
            <w:r>
              <w:rPr>
                <w:rFonts w:hint="default" w:ascii="Times New Roman" w:hAnsi="Times New Roman" w:eastAsia="宋体" w:cs="Times New Roman"/>
                <w:i w:val="0"/>
                <w:color w:val="auto"/>
                <w:kern w:val="0"/>
                <w:sz w:val="24"/>
                <w:szCs w:val="24"/>
                <w:highlight w:val="none"/>
                <w:u w:val="none"/>
                <w:lang w:val="en-US" w:eastAsia="zh-CN" w:bidi="ar"/>
              </w:rPr>
              <w:t>亩（海东快线以东，盐田垉以南，详见附图黄色区域），其中海域面积</w:t>
            </w:r>
            <w:r>
              <w:rPr>
                <w:rFonts w:hint="eastAsia" w:ascii="Times New Roman" w:hAnsi="Times New Roman" w:eastAsia="宋体" w:cs="Times New Roman"/>
                <w:i w:val="0"/>
                <w:color w:val="auto"/>
                <w:kern w:val="0"/>
                <w:sz w:val="24"/>
                <w:szCs w:val="24"/>
                <w:highlight w:val="none"/>
                <w:u w:val="none"/>
                <w:lang w:val="en-US" w:eastAsia="zh-CN" w:bidi="ar"/>
              </w:rPr>
              <w:t>353</w:t>
            </w:r>
            <w:r>
              <w:rPr>
                <w:rFonts w:hint="default" w:ascii="Times New Roman" w:hAnsi="Times New Roman" w:eastAsia="宋体" w:cs="Times New Roman"/>
                <w:i w:val="0"/>
                <w:color w:val="auto"/>
                <w:kern w:val="0"/>
                <w:sz w:val="24"/>
                <w:szCs w:val="24"/>
                <w:highlight w:val="none"/>
                <w:u w:val="none"/>
                <w:lang w:val="en-US" w:eastAsia="zh-CN" w:bidi="ar"/>
              </w:rPr>
              <w:t>亩，陆地面积</w:t>
            </w:r>
            <w:r>
              <w:rPr>
                <w:rFonts w:hint="eastAsia" w:ascii="Times New Roman" w:hAnsi="Times New Roman" w:eastAsia="宋体" w:cs="Times New Roman"/>
                <w:i w:val="0"/>
                <w:color w:val="auto"/>
                <w:kern w:val="0"/>
                <w:sz w:val="24"/>
                <w:szCs w:val="24"/>
                <w:highlight w:val="none"/>
                <w:u w:val="none"/>
                <w:lang w:val="en-US" w:eastAsia="zh-CN" w:bidi="ar"/>
              </w:rPr>
              <w:t>77</w:t>
            </w:r>
            <w:r>
              <w:rPr>
                <w:rFonts w:hint="default" w:ascii="Times New Roman" w:hAnsi="Times New Roman" w:eastAsia="宋体" w:cs="Times New Roman"/>
                <w:i w:val="0"/>
                <w:color w:val="auto"/>
                <w:kern w:val="0"/>
                <w:sz w:val="24"/>
                <w:szCs w:val="24"/>
                <w:highlight w:val="none"/>
                <w:u w:val="none"/>
                <w:lang w:val="en-US" w:eastAsia="zh-CN" w:bidi="ar"/>
              </w:rPr>
              <w:t>亩，滩涂面积</w:t>
            </w:r>
            <w:r>
              <w:rPr>
                <w:rFonts w:hint="eastAsia" w:ascii="Times New Roman" w:hAnsi="Times New Roman" w:eastAsia="宋体" w:cs="Times New Roman"/>
                <w:i w:val="0"/>
                <w:color w:val="auto"/>
                <w:kern w:val="0"/>
                <w:sz w:val="24"/>
                <w:szCs w:val="24"/>
                <w:highlight w:val="none"/>
                <w:u w:val="none"/>
                <w:lang w:val="en-US" w:eastAsia="zh-CN" w:bidi="ar"/>
              </w:rPr>
              <w:t>53</w:t>
            </w:r>
            <w:r>
              <w:rPr>
                <w:rFonts w:hint="default" w:ascii="Times New Roman" w:hAnsi="Times New Roman" w:eastAsia="宋体" w:cs="Times New Roman"/>
                <w:i w:val="0"/>
                <w:color w:val="auto"/>
                <w:kern w:val="0"/>
                <w:sz w:val="24"/>
                <w:szCs w:val="24"/>
                <w:highlight w:val="none"/>
                <w:u w:val="none"/>
                <w:lang w:val="en-US" w:eastAsia="zh-CN" w:bidi="ar"/>
              </w:rPr>
              <w:t>亩，鱼（虾）塘面积</w:t>
            </w:r>
            <w:r>
              <w:rPr>
                <w:rFonts w:hint="eastAsia" w:ascii="Times New Roman" w:hAnsi="Times New Roman" w:eastAsia="宋体" w:cs="Times New Roman"/>
                <w:i w:val="0"/>
                <w:color w:val="auto"/>
                <w:kern w:val="0"/>
                <w:sz w:val="24"/>
                <w:szCs w:val="24"/>
                <w:highlight w:val="none"/>
                <w:u w:val="none"/>
                <w:lang w:val="en-US" w:eastAsia="zh-CN" w:bidi="ar"/>
              </w:rPr>
              <w:t>334</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2030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坡头区科技产业园基础设施建设项目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园区规划总面积</w:t>
            </w:r>
            <w:r>
              <w:rPr>
                <w:rFonts w:hint="eastAsia" w:ascii="Times New Roman" w:hAnsi="Times New Roman" w:eastAsia="宋体" w:cs="Times New Roman"/>
                <w:i w:val="0"/>
                <w:color w:val="auto"/>
                <w:kern w:val="0"/>
                <w:sz w:val="24"/>
                <w:szCs w:val="24"/>
                <w:highlight w:val="none"/>
                <w:u w:val="none"/>
                <w:lang w:val="en-US" w:eastAsia="zh-CN" w:bidi="ar"/>
              </w:rPr>
              <w:t>9000</w:t>
            </w:r>
            <w:r>
              <w:rPr>
                <w:rFonts w:hint="default" w:ascii="Times New Roman" w:hAnsi="Times New Roman" w:eastAsia="宋体" w:cs="Times New Roman"/>
                <w:i w:val="0"/>
                <w:color w:val="auto"/>
                <w:kern w:val="0"/>
                <w:sz w:val="24"/>
                <w:szCs w:val="24"/>
                <w:highlight w:val="none"/>
                <w:u w:val="none"/>
                <w:lang w:val="en-US" w:eastAsia="zh-CN" w:bidi="ar"/>
              </w:rPr>
              <w:t>亩，现已建成官渡园区</w:t>
            </w:r>
            <w:r>
              <w:rPr>
                <w:rFonts w:hint="eastAsia" w:ascii="Times New Roman" w:hAnsi="Times New Roman" w:eastAsia="宋体" w:cs="Times New Roman"/>
                <w:i w:val="0"/>
                <w:color w:val="auto"/>
                <w:kern w:val="0"/>
                <w:sz w:val="24"/>
                <w:szCs w:val="24"/>
                <w:highlight w:val="none"/>
                <w:u w:val="none"/>
                <w:lang w:val="en-US" w:eastAsia="zh-CN" w:bidi="ar"/>
              </w:rPr>
              <w:t>1500</w:t>
            </w:r>
            <w:r>
              <w:rPr>
                <w:rFonts w:hint="default" w:ascii="Times New Roman" w:hAnsi="Times New Roman" w:eastAsia="宋体" w:cs="Times New Roman"/>
                <w:i w:val="0"/>
                <w:color w:val="auto"/>
                <w:kern w:val="0"/>
                <w:sz w:val="24"/>
                <w:szCs w:val="24"/>
                <w:highlight w:val="none"/>
                <w:u w:val="none"/>
                <w:lang w:val="en-US" w:eastAsia="zh-CN" w:bidi="ar"/>
              </w:rPr>
              <w:t>亩，龙头园区首期</w:t>
            </w:r>
            <w:r>
              <w:rPr>
                <w:rFonts w:hint="eastAsia" w:ascii="Times New Roman" w:hAnsi="Times New Roman" w:eastAsia="宋体" w:cs="Times New Roman"/>
                <w:i w:val="0"/>
                <w:color w:val="auto"/>
                <w:kern w:val="0"/>
                <w:sz w:val="24"/>
                <w:szCs w:val="24"/>
                <w:highlight w:val="none"/>
                <w:u w:val="none"/>
                <w:lang w:val="en-US" w:eastAsia="zh-CN" w:bidi="ar"/>
              </w:rPr>
              <w:t>3000</w:t>
            </w:r>
            <w:r>
              <w:rPr>
                <w:rFonts w:hint="default" w:ascii="Times New Roman" w:hAnsi="Times New Roman" w:eastAsia="宋体" w:cs="Times New Roman"/>
                <w:i w:val="0"/>
                <w:color w:val="auto"/>
                <w:kern w:val="0"/>
                <w:sz w:val="24"/>
                <w:szCs w:val="24"/>
                <w:highlight w:val="none"/>
                <w:u w:val="none"/>
                <w:lang w:val="en-US" w:eastAsia="zh-CN" w:bidi="ar"/>
              </w:rPr>
              <w:t>亩正在开发建设。建设内容包括园区土地平整、道路、给排水、污水处理、供电等基础配套设施工程。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23000.00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（六）</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政法基础设施项目（</w:t>
            </w:r>
            <w:r>
              <w:rPr>
                <w:rFonts w:hint="eastAsia" w:ascii="Times New Roman" w:hAnsi="Times New Roman" w:eastAsia="宋体" w:cs="Times New Roman"/>
                <w:b/>
                <w:bCs/>
                <w:i w:val="0"/>
                <w:color w:val="auto"/>
                <w:kern w:val="0"/>
                <w:sz w:val="24"/>
                <w:szCs w:val="24"/>
                <w:highlight w:val="none"/>
                <w:u w:val="none"/>
                <w:lang w:val="en-US" w:eastAsia="zh-CN" w:bidi="ar"/>
              </w:rPr>
              <w:t>2</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坡头区人民武装部选址重建项目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坡头区人民武装部选址重建，含武装部营区及民兵训练基地（龙头靶场），营区建设项目建设用地面积</w:t>
            </w:r>
            <w:r>
              <w:rPr>
                <w:rFonts w:hint="eastAsia" w:ascii="Times New Roman" w:hAnsi="Times New Roman" w:eastAsia="宋体" w:cs="Times New Roman"/>
                <w:i w:val="0"/>
                <w:color w:val="auto"/>
                <w:kern w:val="0"/>
                <w:sz w:val="24"/>
                <w:szCs w:val="24"/>
                <w:highlight w:val="none"/>
                <w:u w:val="none"/>
                <w:lang w:val="en-US" w:eastAsia="zh-CN" w:bidi="ar"/>
              </w:rPr>
              <w:t>19999.8</w:t>
            </w:r>
            <w:r>
              <w:rPr>
                <w:rFonts w:hint="default" w:ascii="Times New Roman" w:hAnsi="Times New Roman" w:eastAsia="宋体" w:cs="Times New Roman"/>
                <w:i w:val="0"/>
                <w:color w:val="auto"/>
                <w:kern w:val="0"/>
                <w:sz w:val="24"/>
                <w:szCs w:val="24"/>
                <w:highlight w:val="none"/>
                <w:u w:val="none"/>
                <w:lang w:val="en-US" w:eastAsia="zh-CN" w:bidi="ar"/>
              </w:rPr>
              <w:t>平方米，建筑面积</w:t>
            </w:r>
            <w:r>
              <w:rPr>
                <w:rFonts w:hint="eastAsia" w:ascii="Times New Roman" w:hAnsi="Times New Roman" w:eastAsia="宋体" w:cs="Times New Roman"/>
                <w:i w:val="0"/>
                <w:color w:val="auto"/>
                <w:kern w:val="0"/>
                <w:sz w:val="24"/>
                <w:szCs w:val="24"/>
                <w:highlight w:val="none"/>
                <w:u w:val="none"/>
                <w:lang w:val="en-US" w:eastAsia="zh-CN" w:bidi="ar"/>
              </w:rPr>
              <w:t>8987.4</w:t>
            </w:r>
            <w:r>
              <w:rPr>
                <w:rFonts w:hint="default" w:ascii="Times New Roman" w:hAnsi="Times New Roman" w:eastAsia="宋体" w:cs="Times New Roman"/>
                <w:i w:val="0"/>
                <w:color w:val="auto"/>
                <w:kern w:val="0"/>
                <w:sz w:val="24"/>
                <w:szCs w:val="24"/>
                <w:highlight w:val="none"/>
                <w:u w:val="none"/>
                <w:lang w:val="en-US" w:eastAsia="zh-CN" w:bidi="ar"/>
              </w:rPr>
              <w:t>平方米，规划建设办公楼、宿舍楼（集体宿舍、公寓房）、库房、训练用地、绿化用地等；民兵训练基地（龙头靶场）用地面积</w:t>
            </w:r>
            <w:r>
              <w:rPr>
                <w:rFonts w:hint="eastAsia" w:ascii="Times New Roman" w:hAnsi="Times New Roman" w:eastAsia="宋体" w:cs="Times New Roman"/>
                <w:i w:val="0"/>
                <w:color w:val="auto"/>
                <w:kern w:val="0"/>
                <w:sz w:val="24"/>
                <w:szCs w:val="24"/>
                <w:highlight w:val="none"/>
                <w:u w:val="none"/>
                <w:lang w:val="en-US" w:eastAsia="zh-CN" w:bidi="ar"/>
              </w:rPr>
              <w:t>18581</w:t>
            </w:r>
            <w:r>
              <w:rPr>
                <w:rFonts w:hint="default" w:ascii="Times New Roman" w:hAnsi="Times New Roman" w:eastAsia="宋体" w:cs="Times New Roman"/>
                <w:i w:val="0"/>
                <w:color w:val="auto"/>
                <w:kern w:val="0"/>
                <w:sz w:val="24"/>
                <w:szCs w:val="24"/>
                <w:highlight w:val="none"/>
                <w:u w:val="none"/>
                <w:lang w:val="en-US" w:eastAsia="zh-CN" w:bidi="ar"/>
              </w:rPr>
              <w:t>平方米，建筑面积</w:t>
            </w:r>
            <w:r>
              <w:rPr>
                <w:rFonts w:hint="eastAsia" w:ascii="Times New Roman" w:hAnsi="Times New Roman" w:eastAsia="宋体" w:cs="Times New Roman"/>
                <w:i w:val="0"/>
                <w:color w:val="auto"/>
                <w:kern w:val="0"/>
                <w:sz w:val="24"/>
                <w:szCs w:val="24"/>
                <w:highlight w:val="none"/>
                <w:u w:val="none"/>
                <w:lang w:val="en-US" w:eastAsia="zh-CN" w:bidi="ar"/>
              </w:rPr>
              <w:t>10538</w:t>
            </w:r>
            <w:r>
              <w:rPr>
                <w:rFonts w:hint="default" w:ascii="Times New Roman" w:hAnsi="Times New Roman" w:eastAsia="宋体" w:cs="Times New Roman"/>
                <w:i w:val="0"/>
                <w:color w:val="auto"/>
                <w:kern w:val="0"/>
                <w:sz w:val="24"/>
                <w:szCs w:val="24"/>
                <w:highlight w:val="none"/>
                <w:u w:val="none"/>
                <w:lang w:val="en-US" w:eastAsia="zh-CN" w:bidi="ar"/>
              </w:rPr>
              <w:t>平方米，规划建设靶场、训练场、食堂、门卫室及休息间等；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10800.00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粤西海事应急决策指挥中心（一期）工程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项目规划用地面积</w:t>
            </w:r>
            <w:r>
              <w:rPr>
                <w:rFonts w:hint="eastAsia" w:ascii="Times New Roman" w:hAnsi="Times New Roman" w:eastAsia="宋体" w:cs="Times New Roman"/>
                <w:i w:val="0"/>
                <w:color w:val="auto"/>
                <w:kern w:val="0"/>
                <w:sz w:val="24"/>
                <w:szCs w:val="24"/>
                <w:highlight w:val="none"/>
                <w:u w:val="none"/>
                <w:lang w:val="en-US" w:eastAsia="zh-CN" w:bidi="ar"/>
              </w:rPr>
              <w:t>22030.47</w:t>
            </w:r>
            <w:r>
              <w:rPr>
                <w:rFonts w:hint="default" w:ascii="Times New Roman" w:hAnsi="Times New Roman" w:eastAsia="宋体" w:cs="Times New Roman"/>
                <w:i w:val="0"/>
                <w:color w:val="auto"/>
                <w:kern w:val="0"/>
                <w:sz w:val="24"/>
                <w:szCs w:val="24"/>
                <w:highlight w:val="none"/>
                <w:u w:val="none"/>
                <w:lang w:val="en-US" w:eastAsia="zh-CN" w:bidi="ar"/>
              </w:rPr>
              <w:t>平方米，规划建设总建筑面积为</w:t>
            </w:r>
            <w:r>
              <w:rPr>
                <w:rFonts w:hint="eastAsia" w:ascii="Times New Roman" w:hAnsi="Times New Roman" w:eastAsia="宋体" w:cs="Times New Roman"/>
                <w:i w:val="0"/>
                <w:color w:val="auto"/>
                <w:kern w:val="0"/>
                <w:sz w:val="24"/>
                <w:szCs w:val="24"/>
                <w:highlight w:val="none"/>
                <w:u w:val="none"/>
                <w:lang w:val="en-US" w:eastAsia="zh-CN" w:bidi="ar"/>
              </w:rPr>
              <w:t>16638</w:t>
            </w:r>
            <w:r>
              <w:rPr>
                <w:rFonts w:hint="default" w:ascii="Times New Roman" w:hAnsi="Times New Roman" w:eastAsia="宋体" w:cs="Times New Roman"/>
                <w:i w:val="0"/>
                <w:color w:val="auto"/>
                <w:kern w:val="0"/>
                <w:sz w:val="24"/>
                <w:szCs w:val="24"/>
                <w:highlight w:val="none"/>
                <w:u w:val="none"/>
                <w:lang w:val="en-US" w:eastAsia="zh-CN" w:bidi="ar"/>
              </w:rPr>
              <w:t>平方米的海事应急指挥中心（包括技术业务用房</w:t>
            </w:r>
            <w:r>
              <w:rPr>
                <w:rFonts w:hint="eastAsia" w:ascii="Times New Roman" w:hAnsi="Times New Roman" w:eastAsia="宋体" w:cs="Times New Roman"/>
                <w:i w:val="0"/>
                <w:color w:val="auto"/>
                <w:kern w:val="0"/>
                <w:sz w:val="24"/>
                <w:szCs w:val="24"/>
                <w:highlight w:val="none"/>
                <w:u w:val="none"/>
                <w:lang w:val="en-US" w:eastAsia="zh-CN" w:bidi="ar"/>
              </w:rPr>
              <w:t>9216</w:t>
            </w:r>
            <w:r>
              <w:rPr>
                <w:rFonts w:hint="default" w:ascii="Times New Roman" w:hAnsi="Times New Roman" w:eastAsia="宋体" w:cs="Times New Roman"/>
                <w:i w:val="0"/>
                <w:color w:val="auto"/>
                <w:kern w:val="0"/>
                <w:sz w:val="24"/>
                <w:szCs w:val="24"/>
                <w:highlight w:val="none"/>
                <w:u w:val="none"/>
                <w:lang w:val="en-US" w:eastAsia="zh-CN" w:bidi="ar"/>
              </w:rPr>
              <w:t>平方米、综合配套用房</w:t>
            </w:r>
            <w:r>
              <w:rPr>
                <w:rFonts w:hint="eastAsia" w:ascii="Times New Roman" w:hAnsi="Times New Roman" w:eastAsia="宋体" w:cs="Times New Roman"/>
                <w:i w:val="0"/>
                <w:color w:val="auto"/>
                <w:kern w:val="0"/>
                <w:sz w:val="24"/>
                <w:szCs w:val="24"/>
                <w:highlight w:val="none"/>
                <w:u w:val="none"/>
                <w:lang w:val="en-US" w:eastAsia="zh-CN" w:bidi="ar"/>
              </w:rPr>
              <w:t>3372</w:t>
            </w:r>
            <w:r>
              <w:rPr>
                <w:rFonts w:hint="default" w:ascii="Times New Roman" w:hAnsi="Times New Roman" w:eastAsia="宋体" w:cs="Times New Roman"/>
                <w:i w:val="0"/>
                <w:color w:val="auto"/>
                <w:kern w:val="0"/>
                <w:sz w:val="24"/>
                <w:szCs w:val="24"/>
                <w:highlight w:val="none"/>
                <w:u w:val="none"/>
                <w:lang w:val="en-US" w:eastAsia="zh-CN" w:bidi="ar"/>
              </w:rPr>
              <w:t>平方米，地下建筑面积</w:t>
            </w:r>
            <w:r>
              <w:rPr>
                <w:rFonts w:hint="eastAsia" w:ascii="Times New Roman" w:hAnsi="Times New Roman" w:eastAsia="宋体" w:cs="Times New Roman"/>
                <w:i w:val="0"/>
                <w:color w:val="auto"/>
                <w:kern w:val="0"/>
                <w:sz w:val="24"/>
                <w:szCs w:val="24"/>
                <w:highlight w:val="none"/>
                <w:u w:val="none"/>
                <w:lang w:val="en-US" w:eastAsia="zh-CN" w:bidi="ar"/>
              </w:rPr>
              <w:t>4050</w:t>
            </w:r>
            <w:r>
              <w:rPr>
                <w:rFonts w:hint="default" w:ascii="Times New Roman" w:hAnsi="Times New Roman" w:eastAsia="宋体" w:cs="Times New Roman"/>
                <w:i w:val="0"/>
                <w:color w:val="auto"/>
                <w:kern w:val="0"/>
                <w:sz w:val="24"/>
                <w:szCs w:val="24"/>
                <w:highlight w:val="none"/>
                <w:u w:val="none"/>
                <w:lang w:val="en-US" w:eastAsia="zh-CN" w:bidi="ar"/>
              </w:rPr>
              <w:t>平方米）等海事应急保障设施。</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9843</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9843</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（七）</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港航工程(</w:t>
            </w:r>
            <w:r>
              <w:rPr>
                <w:rFonts w:hint="eastAsia" w:ascii="Times New Roman" w:hAnsi="Times New Roman" w:eastAsia="宋体" w:cs="Times New Roman"/>
                <w:b/>
                <w:bCs/>
                <w:i w:val="0"/>
                <w:color w:val="auto"/>
                <w:kern w:val="0"/>
                <w:sz w:val="24"/>
                <w:szCs w:val="24"/>
                <w:highlight w:val="none"/>
                <w:u w:val="none"/>
                <w:lang w:val="en-US" w:eastAsia="zh-CN" w:bidi="ar"/>
              </w:rPr>
              <w:t>2</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湛江市湛江湾渔港项目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本项目一期工程主要建设防波堤、码头、港池航道疏浚、港区道路及码头水电设施建设；二期陆域工程建设内容：渔港综合管理中心、卸鱼棚、港区道路、污水处理设施，、垃圾中转站</w:t>
            </w:r>
            <w:r>
              <w:rPr>
                <w:rFonts w:hint="eastAsia" w:ascii="Times New Roman" w:hAnsi="Times New Roman" w:eastAsia="宋体" w:cs="Times New Roman"/>
                <w:i w:val="0"/>
                <w:color w:val="auto"/>
                <w:kern w:val="0"/>
                <w:sz w:val="24"/>
                <w:szCs w:val="24"/>
                <w:highlight w:val="none"/>
                <w:u w:val="none"/>
                <w:lang w:val="en-US" w:eastAsia="zh-CN" w:bidi="ar"/>
              </w:rPr>
              <w:t>300</w:t>
            </w:r>
            <w:r>
              <w:rPr>
                <w:rFonts w:hint="default" w:ascii="Times New Roman" w:hAnsi="Times New Roman" w:eastAsia="宋体" w:cs="Times New Roman"/>
                <w:i w:val="0"/>
                <w:color w:val="auto"/>
                <w:kern w:val="0"/>
                <w:sz w:val="24"/>
                <w:szCs w:val="24"/>
                <w:highlight w:val="none"/>
                <w:u w:val="none"/>
                <w:lang w:val="en-US" w:eastAsia="zh-CN" w:bidi="ar"/>
              </w:rPr>
              <w:t>平方米；、制储冰楼及粗加工车间、水产品交易市场、电商等商业门面房、绿化、修造船厂建筑</w:t>
            </w:r>
            <w:r>
              <w:rPr>
                <w:rFonts w:hint="eastAsia" w:ascii="Times New Roman" w:hAnsi="Times New Roman" w:eastAsia="宋体" w:cs="Times New Roman"/>
                <w:i w:val="0"/>
                <w:color w:val="auto"/>
                <w:kern w:val="0"/>
                <w:sz w:val="24"/>
                <w:szCs w:val="24"/>
                <w:highlight w:val="none"/>
                <w:u w:val="none"/>
                <w:lang w:val="en-US" w:eastAsia="zh-CN" w:bidi="ar"/>
              </w:rPr>
              <w:t>3600</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111570.04</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111570.04</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w:t>
            </w:r>
            <w:r>
              <w:rPr>
                <w:rFonts w:hint="default" w:ascii="Times New Roman" w:hAnsi="Times New Roman" w:eastAsia="宋体" w:cs="Times New Roman"/>
                <w:i w:val="0"/>
                <w:color w:val="auto"/>
                <w:kern w:val="0"/>
                <w:sz w:val="24"/>
                <w:szCs w:val="24"/>
                <w:highlight w:val="none"/>
                <w:u w:val="none"/>
                <w:lang w:val="en-US" w:eastAsia="zh-CN" w:bidi="ar"/>
              </w:rPr>
              <w:t>吨船坞技改工程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w:t>
            </w:r>
            <w:r>
              <w:rPr>
                <w:rFonts w:hint="default" w:ascii="Times New Roman" w:hAnsi="Times New Roman" w:eastAsia="宋体" w:cs="Times New Roman"/>
                <w:i w:val="0"/>
                <w:color w:val="auto"/>
                <w:kern w:val="0"/>
                <w:sz w:val="24"/>
                <w:szCs w:val="24"/>
                <w:highlight w:val="none"/>
                <w:u w:val="none"/>
                <w:lang w:val="en-US" w:eastAsia="zh-CN" w:bidi="ar"/>
              </w:rPr>
              <w:t>万吨船坞技改工程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（八）</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现代水利基础设施体系领域(</w:t>
            </w:r>
            <w:r>
              <w:rPr>
                <w:rFonts w:hint="eastAsia" w:ascii="Times New Roman" w:hAnsi="Times New Roman" w:eastAsia="宋体" w:cs="Times New Roman"/>
                <w:b/>
                <w:bCs/>
                <w:i w:val="0"/>
                <w:color w:val="auto"/>
                <w:kern w:val="0"/>
                <w:sz w:val="24"/>
                <w:szCs w:val="24"/>
                <w:highlight w:val="none"/>
                <w:u w:val="none"/>
                <w:lang w:val="en-US" w:eastAsia="zh-CN" w:bidi="ar"/>
              </w:rPr>
              <w:t>19</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甘村水库综合整治工程（第一期）</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衬砌改造</w:t>
            </w:r>
            <w:r>
              <w:rPr>
                <w:rFonts w:hint="eastAsia" w:ascii="Times New Roman" w:hAnsi="Times New Roman" w:eastAsia="宋体" w:cs="Times New Roman"/>
                <w:i w:val="0"/>
                <w:color w:val="auto"/>
                <w:kern w:val="0"/>
                <w:sz w:val="24"/>
                <w:szCs w:val="24"/>
                <w:highlight w:val="none"/>
                <w:u w:val="none"/>
                <w:lang w:val="en-US" w:eastAsia="zh-CN" w:bidi="ar"/>
              </w:rPr>
              <w:t>11.9</w:t>
            </w:r>
            <w:r>
              <w:rPr>
                <w:rFonts w:hint="default" w:ascii="Times New Roman" w:hAnsi="Times New Roman" w:eastAsia="宋体" w:cs="Times New Roman"/>
                <w:i w:val="0"/>
                <w:color w:val="auto"/>
                <w:kern w:val="0"/>
                <w:sz w:val="24"/>
                <w:szCs w:val="24"/>
                <w:highlight w:val="none"/>
                <w:u w:val="none"/>
                <w:lang w:val="en-US" w:eastAsia="zh-CN" w:bidi="ar"/>
              </w:rPr>
              <w:t>公里，改道建设</w:t>
            </w:r>
            <w:r>
              <w:rPr>
                <w:rFonts w:hint="eastAsia" w:ascii="Times New Roman" w:hAnsi="Times New Roman" w:eastAsia="宋体" w:cs="Times New Roman"/>
                <w:i w:val="0"/>
                <w:color w:val="auto"/>
                <w:kern w:val="0"/>
                <w:sz w:val="24"/>
                <w:szCs w:val="24"/>
                <w:highlight w:val="none"/>
                <w:u w:val="none"/>
                <w:lang w:val="en-US" w:eastAsia="zh-CN" w:bidi="ar"/>
              </w:rPr>
              <w:t>4.02</w:t>
            </w:r>
            <w:r>
              <w:rPr>
                <w:rFonts w:hint="default" w:ascii="Times New Roman" w:hAnsi="Times New Roman" w:eastAsia="宋体" w:cs="Times New Roman"/>
                <w:i w:val="0"/>
                <w:color w:val="auto"/>
                <w:kern w:val="0"/>
                <w:sz w:val="24"/>
                <w:szCs w:val="24"/>
                <w:highlight w:val="none"/>
                <w:u w:val="none"/>
                <w:lang w:val="en-US" w:eastAsia="zh-CN" w:bidi="ar"/>
              </w:rPr>
              <w:t>公里，建设节制闸三座。</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8331</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3450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4881</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甘村水库清淤扩容工程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清淤恢复库容(约</w:t>
            </w:r>
            <w:r>
              <w:rPr>
                <w:rFonts w:hint="eastAsia" w:ascii="Times New Roman" w:hAnsi="Times New Roman" w:eastAsia="宋体" w:cs="Times New Roman"/>
                <w:i w:val="0"/>
                <w:color w:val="auto"/>
                <w:kern w:val="0"/>
                <w:sz w:val="24"/>
                <w:szCs w:val="24"/>
                <w:highlight w:val="none"/>
                <w:u w:val="none"/>
                <w:lang w:val="en-US" w:eastAsia="zh-CN" w:bidi="ar"/>
              </w:rPr>
              <w:t>1300</w:t>
            </w:r>
            <w:r>
              <w:rPr>
                <w:rFonts w:hint="default" w:ascii="Times New Roman" w:hAnsi="Times New Roman" w:eastAsia="宋体" w:cs="Times New Roman"/>
                <w:i w:val="0"/>
                <w:color w:val="auto"/>
                <w:kern w:val="0"/>
                <w:sz w:val="24"/>
                <w:szCs w:val="24"/>
                <w:highlight w:val="none"/>
                <w:u w:val="none"/>
                <w:lang w:val="en-US" w:eastAsia="zh-CN" w:bidi="ar"/>
              </w:rPr>
              <w:t>亩,清淤深度为</w:t>
            </w:r>
            <w:r>
              <w:rPr>
                <w:rFonts w:hint="eastAsia" w:ascii="Times New Roman" w:hAnsi="Times New Roman" w:eastAsia="宋体" w:cs="Times New Roman"/>
                <w:i w:val="0"/>
                <w:color w:val="auto"/>
                <w:kern w:val="0"/>
                <w:sz w:val="24"/>
                <w:szCs w:val="24"/>
                <w:highlight w:val="none"/>
                <w:u w:val="none"/>
                <w:lang w:val="en-US" w:eastAsia="zh-CN" w:bidi="ar"/>
              </w:rPr>
              <w:t>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3.0</w:t>
            </w:r>
            <w:r>
              <w:rPr>
                <w:rFonts w:hint="default" w:ascii="Times New Roman" w:hAnsi="Times New Roman" w:eastAsia="宋体" w:cs="Times New Roman"/>
                <w:i w:val="0"/>
                <w:color w:val="auto"/>
                <w:kern w:val="0"/>
                <w:sz w:val="24"/>
                <w:szCs w:val="24"/>
                <w:highlight w:val="none"/>
                <w:u w:val="none"/>
                <w:lang w:val="en-US" w:eastAsia="zh-CN" w:bidi="ar"/>
              </w:rPr>
              <w:t>米，清淤方量为</w:t>
            </w:r>
            <w:r>
              <w:rPr>
                <w:rFonts w:hint="eastAsia" w:ascii="Times New Roman" w:hAnsi="Times New Roman" w:eastAsia="宋体" w:cs="Times New Roman"/>
                <w:i w:val="0"/>
                <w:color w:val="auto"/>
                <w:kern w:val="0"/>
                <w:sz w:val="24"/>
                <w:szCs w:val="24"/>
                <w:highlight w:val="none"/>
                <w:u w:val="none"/>
                <w:lang w:val="en-US" w:eastAsia="zh-CN" w:bidi="ar"/>
              </w:rPr>
              <w:t>100</w:t>
            </w:r>
            <w:r>
              <w:rPr>
                <w:rFonts w:hint="default" w:ascii="Times New Roman" w:hAnsi="Times New Roman" w:eastAsia="宋体" w:cs="Times New Roman"/>
                <w:i w:val="0"/>
                <w:color w:val="auto"/>
                <w:kern w:val="0"/>
                <w:sz w:val="24"/>
                <w:szCs w:val="24"/>
                <w:highlight w:val="none"/>
                <w:u w:val="none"/>
                <w:lang w:val="en-US" w:eastAsia="zh-CN" w:bidi="ar"/>
              </w:rPr>
              <w:t>万立方米),环库管理便道建设、管理房重建及水文水利设施建设、排洪渠疏浚加固及其它配套设施工程等.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甘村水库库区</w:t>
            </w:r>
            <w:r>
              <w:rPr>
                <w:rFonts w:hint="eastAsia" w:ascii="Times New Roman" w:hAnsi="Times New Roman" w:eastAsia="宋体" w:cs="Times New Roman"/>
                <w:i w:val="0"/>
                <w:color w:val="auto"/>
                <w:kern w:val="0"/>
                <w:sz w:val="24"/>
                <w:szCs w:val="24"/>
                <w:highlight w:val="none"/>
                <w:u w:val="none"/>
                <w:lang w:val="en-US" w:eastAsia="zh-CN" w:bidi="ar"/>
              </w:rPr>
              <w:t>220</w:t>
            </w:r>
            <w:r>
              <w:rPr>
                <w:rFonts w:hint="default" w:ascii="Times New Roman" w:hAnsi="Times New Roman" w:eastAsia="宋体" w:cs="Times New Roman"/>
                <w:i w:val="0"/>
                <w:color w:val="auto"/>
                <w:kern w:val="0"/>
                <w:sz w:val="24"/>
                <w:szCs w:val="24"/>
                <w:highlight w:val="none"/>
                <w:u w:val="none"/>
                <w:lang w:val="en-US" w:eastAsia="zh-CN" w:bidi="ar"/>
              </w:rPr>
              <w:t>亩原家用电器公司积水地块水浮莲及底泥清理工程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对水库库区</w:t>
            </w:r>
            <w:r>
              <w:rPr>
                <w:rFonts w:hint="eastAsia" w:ascii="Times New Roman" w:hAnsi="Times New Roman" w:eastAsia="宋体" w:cs="Times New Roman"/>
                <w:i w:val="0"/>
                <w:color w:val="auto"/>
                <w:kern w:val="0"/>
                <w:sz w:val="24"/>
                <w:szCs w:val="24"/>
                <w:highlight w:val="none"/>
                <w:u w:val="none"/>
                <w:lang w:val="en-US" w:eastAsia="zh-CN" w:bidi="ar"/>
              </w:rPr>
              <w:t>220</w:t>
            </w:r>
            <w:r>
              <w:rPr>
                <w:rFonts w:hint="default" w:ascii="Times New Roman" w:hAnsi="Times New Roman" w:eastAsia="宋体" w:cs="Times New Roman"/>
                <w:i w:val="0"/>
                <w:color w:val="auto"/>
                <w:kern w:val="0"/>
                <w:sz w:val="24"/>
                <w:szCs w:val="24"/>
                <w:highlight w:val="none"/>
                <w:u w:val="none"/>
                <w:lang w:val="en-US" w:eastAsia="zh-CN" w:bidi="ar"/>
              </w:rPr>
              <w:t>亩污染地块进行水浮莲清理和底泥清运处理，水浮莲面积约</w:t>
            </w:r>
            <w:r>
              <w:rPr>
                <w:rFonts w:hint="eastAsia" w:ascii="Times New Roman" w:hAnsi="Times New Roman" w:eastAsia="宋体" w:cs="Times New Roman"/>
                <w:i w:val="0"/>
                <w:color w:val="auto"/>
                <w:kern w:val="0"/>
                <w:sz w:val="24"/>
                <w:szCs w:val="24"/>
                <w:highlight w:val="none"/>
                <w:u w:val="none"/>
                <w:lang w:val="en-US" w:eastAsia="zh-CN" w:bidi="ar"/>
              </w:rPr>
              <w:t>180</w:t>
            </w:r>
            <w:r>
              <w:rPr>
                <w:rFonts w:hint="default" w:ascii="Times New Roman" w:hAnsi="Times New Roman" w:eastAsia="宋体" w:cs="Times New Roman"/>
                <w:i w:val="0"/>
                <w:color w:val="auto"/>
                <w:kern w:val="0"/>
                <w:sz w:val="24"/>
                <w:szCs w:val="24"/>
                <w:highlight w:val="none"/>
                <w:u w:val="none"/>
                <w:lang w:val="en-US" w:eastAsia="zh-CN" w:bidi="ar"/>
              </w:rPr>
              <w:t>亩，清淤量约</w:t>
            </w:r>
            <w:r>
              <w:rPr>
                <w:rFonts w:hint="eastAsia" w:ascii="Times New Roman" w:hAnsi="Times New Roman" w:eastAsia="宋体" w:cs="Times New Roman"/>
                <w:i w:val="0"/>
                <w:color w:val="auto"/>
                <w:kern w:val="0"/>
                <w:sz w:val="24"/>
                <w:szCs w:val="24"/>
                <w:highlight w:val="none"/>
                <w:u w:val="none"/>
                <w:lang w:val="en-US" w:eastAsia="zh-CN" w:bidi="ar"/>
              </w:rPr>
              <w:t>20</w:t>
            </w:r>
            <w:r>
              <w:rPr>
                <w:rFonts w:hint="default" w:ascii="Times New Roman" w:hAnsi="Times New Roman" w:eastAsia="宋体" w:cs="Times New Roman"/>
                <w:i w:val="0"/>
                <w:color w:val="auto"/>
                <w:kern w:val="0"/>
                <w:sz w:val="24"/>
                <w:szCs w:val="24"/>
                <w:highlight w:val="none"/>
                <w:u w:val="none"/>
                <w:lang w:val="en-US" w:eastAsia="zh-CN" w:bidi="ar"/>
              </w:rPr>
              <w:t>万方</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1150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59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湛江市坡头区乾塘（坡头）沿海乡镇城乡一体化供水工程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解决乾塘镇</w:t>
            </w:r>
            <w:r>
              <w:rPr>
                <w:rFonts w:hint="eastAsia" w:ascii="Times New Roman" w:hAnsi="Times New Roman" w:eastAsia="宋体" w:cs="Times New Roman"/>
                <w:i w:val="0"/>
                <w:color w:val="auto"/>
                <w:kern w:val="0"/>
                <w:sz w:val="24"/>
                <w:szCs w:val="24"/>
                <w:highlight w:val="none"/>
                <w:u w:val="none"/>
                <w:lang w:val="en-US" w:eastAsia="zh-CN" w:bidi="ar"/>
              </w:rPr>
              <w:t>4.2</w:t>
            </w:r>
            <w:r>
              <w:rPr>
                <w:rFonts w:hint="default" w:ascii="Times New Roman" w:hAnsi="Times New Roman" w:eastAsia="宋体" w:cs="Times New Roman"/>
                <w:i w:val="0"/>
                <w:color w:val="auto"/>
                <w:kern w:val="0"/>
                <w:sz w:val="24"/>
                <w:szCs w:val="24"/>
                <w:highlight w:val="none"/>
                <w:u w:val="none"/>
                <w:lang w:val="en-US" w:eastAsia="zh-CN" w:bidi="ar"/>
              </w:rPr>
              <w:t>万群众的安全饮水问题。建设净水厂一座，新增供水规模约</w:t>
            </w:r>
            <w:r>
              <w:rPr>
                <w:rFonts w:hint="eastAsia" w:ascii="Times New Roman" w:hAnsi="Times New Roman" w:eastAsia="宋体" w:cs="Times New Roman"/>
                <w:i w:val="0"/>
                <w:color w:val="auto"/>
                <w:kern w:val="0"/>
                <w:sz w:val="24"/>
                <w:szCs w:val="24"/>
                <w:highlight w:val="none"/>
                <w:u w:val="none"/>
                <w:lang w:val="en-US" w:eastAsia="zh-CN" w:bidi="ar"/>
              </w:rPr>
              <w:t>15000</w:t>
            </w:r>
            <w:r>
              <w:rPr>
                <w:rFonts w:hint="default" w:ascii="Times New Roman" w:hAnsi="Times New Roman" w:eastAsia="宋体" w:cs="Times New Roman"/>
                <w:i w:val="0"/>
                <w:color w:val="auto"/>
                <w:kern w:val="0"/>
                <w:sz w:val="24"/>
                <w:szCs w:val="24"/>
                <w:highlight w:val="none"/>
                <w:u w:val="none"/>
                <w:lang w:val="en-US" w:eastAsia="zh-CN" w:bidi="ar"/>
              </w:rPr>
              <w:t>吨/日。净水厂拟从鉴江取水。埋设供水主管到辖内</w:t>
            </w:r>
            <w:r>
              <w:rPr>
                <w:rFonts w:hint="eastAsia" w:ascii="Times New Roman" w:hAnsi="Times New Roman" w:eastAsia="宋体" w:cs="Times New Roman"/>
                <w:i w:val="0"/>
                <w:color w:val="auto"/>
                <w:kern w:val="0"/>
                <w:sz w:val="24"/>
                <w:szCs w:val="24"/>
                <w:highlight w:val="none"/>
                <w:u w:val="none"/>
                <w:lang w:val="en-US" w:eastAsia="zh-CN" w:bidi="ar"/>
              </w:rPr>
              <w:t>7</w:t>
            </w:r>
            <w:r>
              <w:rPr>
                <w:rFonts w:hint="default" w:ascii="Times New Roman" w:hAnsi="Times New Roman" w:eastAsia="宋体" w:cs="Times New Roman"/>
                <w:i w:val="0"/>
                <w:color w:val="auto"/>
                <w:kern w:val="0"/>
                <w:sz w:val="24"/>
                <w:szCs w:val="24"/>
                <w:highlight w:val="none"/>
                <w:u w:val="none"/>
                <w:lang w:val="en-US" w:eastAsia="zh-CN" w:bidi="ar"/>
              </w:rPr>
              <w:t>个村居委会，解决</w:t>
            </w:r>
            <w:r>
              <w:rPr>
                <w:rFonts w:hint="eastAsia" w:ascii="Times New Roman" w:hAnsi="Times New Roman" w:eastAsia="宋体" w:cs="Times New Roman"/>
                <w:i w:val="0"/>
                <w:color w:val="auto"/>
                <w:kern w:val="0"/>
                <w:sz w:val="24"/>
                <w:szCs w:val="24"/>
                <w:highlight w:val="none"/>
                <w:u w:val="none"/>
                <w:lang w:val="en-US" w:eastAsia="zh-CN" w:bidi="ar"/>
              </w:rPr>
              <w:t>4.2</w:t>
            </w:r>
            <w:r>
              <w:rPr>
                <w:rFonts w:hint="default" w:ascii="Times New Roman" w:hAnsi="Times New Roman" w:eastAsia="宋体" w:cs="Times New Roman"/>
                <w:i w:val="0"/>
                <w:color w:val="auto"/>
                <w:kern w:val="0"/>
                <w:sz w:val="24"/>
                <w:szCs w:val="24"/>
                <w:highlight w:val="none"/>
                <w:u w:val="none"/>
                <w:lang w:val="en-US" w:eastAsia="zh-CN" w:bidi="ar"/>
              </w:rPr>
              <w:t>万人的饮水问题。</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16000.00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麻斜社区到污水处理厂背街小巷城区排污系统建设工程项目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建设内容为新建</w:t>
            </w:r>
            <w:r>
              <w:rPr>
                <w:rFonts w:hint="eastAsia" w:ascii="Times New Roman" w:hAnsi="Times New Roman" w:eastAsia="宋体" w:cs="Times New Roman"/>
                <w:i w:val="0"/>
                <w:color w:val="auto"/>
                <w:kern w:val="0"/>
                <w:sz w:val="24"/>
                <w:szCs w:val="24"/>
                <w:highlight w:val="none"/>
                <w:u w:val="none"/>
                <w:lang w:val="en-US" w:eastAsia="zh-CN" w:bidi="ar"/>
              </w:rPr>
              <w:t>D800</w:t>
            </w:r>
            <w:r>
              <w:rPr>
                <w:rFonts w:hint="default" w:ascii="Times New Roman" w:hAnsi="Times New Roman" w:eastAsia="宋体" w:cs="Times New Roman"/>
                <w:i w:val="0"/>
                <w:color w:val="auto"/>
                <w:kern w:val="0"/>
                <w:sz w:val="24"/>
                <w:szCs w:val="24"/>
                <w:highlight w:val="none"/>
                <w:u w:val="none"/>
                <w:lang w:val="en-US" w:eastAsia="zh-CN" w:bidi="ar"/>
              </w:rPr>
              <w:t>的污水主管道，麻坡路自麻斜中学西侧路口至麻安路路口新建</w:t>
            </w:r>
            <w:r>
              <w:rPr>
                <w:rFonts w:hint="eastAsia" w:ascii="Times New Roman" w:hAnsi="Times New Roman" w:eastAsia="宋体" w:cs="Times New Roman"/>
                <w:i w:val="0"/>
                <w:color w:val="auto"/>
                <w:kern w:val="0"/>
                <w:sz w:val="24"/>
                <w:szCs w:val="24"/>
                <w:highlight w:val="none"/>
                <w:u w:val="none"/>
                <w:lang w:val="en-US" w:eastAsia="zh-CN" w:bidi="ar"/>
              </w:rPr>
              <w:t>904</w:t>
            </w:r>
            <w:r>
              <w:rPr>
                <w:rFonts w:hint="default" w:ascii="Times New Roman" w:hAnsi="Times New Roman" w:eastAsia="宋体" w:cs="Times New Roman"/>
                <w:i w:val="0"/>
                <w:color w:val="auto"/>
                <w:kern w:val="0"/>
                <w:sz w:val="24"/>
                <w:szCs w:val="24"/>
                <w:highlight w:val="none"/>
                <w:u w:val="none"/>
                <w:lang w:val="en-US" w:eastAsia="zh-CN" w:bidi="ar"/>
              </w:rPr>
              <w:t>米</w:t>
            </w:r>
            <w:r>
              <w:rPr>
                <w:rFonts w:hint="eastAsia" w:ascii="Times New Roman" w:hAnsi="Times New Roman" w:eastAsia="宋体" w:cs="Times New Roman"/>
                <w:i w:val="0"/>
                <w:color w:val="auto"/>
                <w:kern w:val="0"/>
                <w:sz w:val="24"/>
                <w:szCs w:val="24"/>
                <w:highlight w:val="none"/>
                <w:u w:val="none"/>
                <w:lang w:val="en-US" w:eastAsia="zh-CN" w:bidi="ar"/>
              </w:rPr>
              <w:t>DN600</w:t>
            </w:r>
            <w:r>
              <w:rPr>
                <w:rFonts w:hint="default" w:ascii="Times New Roman" w:hAnsi="Times New Roman" w:eastAsia="宋体" w:cs="Times New Roman"/>
                <w:i w:val="0"/>
                <w:color w:val="auto"/>
                <w:kern w:val="0"/>
                <w:sz w:val="24"/>
                <w:szCs w:val="24"/>
                <w:highlight w:val="none"/>
                <w:u w:val="none"/>
                <w:lang w:val="en-US" w:eastAsia="zh-CN" w:bidi="ar"/>
              </w:rPr>
              <w:t>污水主管，在各个村内建设污水主管总长度约</w:t>
            </w:r>
            <w:r>
              <w:rPr>
                <w:rFonts w:hint="eastAsia" w:ascii="Times New Roman" w:hAnsi="Times New Roman" w:eastAsia="宋体" w:cs="Times New Roman"/>
                <w:i w:val="0"/>
                <w:color w:val="auto"/>
                <w:kern w:val="0"/>
                <w:sz w:val="24"/>
                <w:szCs w:val="24"/>
                <w:highlight w:val="none"/>
                <w:u w:val="none"/>
                <w:lang w:val="en-US" w:eastAsia="zh-CN" w:bidi="ar"/>
              </w:rPr>
              <w:t>11KM</w:t>
            </w:r>
            <w:r>
              <w:rPr>
                <w:rFonts w:hint="default" w:ascii="Times New Roman" w:hAnsi="Times New Roman" w:eastAsia="宋体" w:cs="Times New Roman"/>
                <w:i w:val="0"/>
                <w:color w:val="auto"/>
                <w:kern w:val="0"/>
                <w:sz w:val="24"/>
                <w:szCs w:val="24"/>
                <w:highlight w:val="none"/>
                <w:u w:val="none"/>
                <w:lang w:val="en-US" w:eastAsia="zh-CN" w:bidi="ar"/>
              </w:rPr>
              <w:t>，建设</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座污水提升泵站；麻安路建设约</w:t>
            </w:r>
            <w:r>
              <w:rPr>
                <w:rFonts w:hint="eastAsia" w:ascii="Times New Roman" w:hAnsi="Times New Roman" w:eastAsia="宋体" w:cs="Times New Roman"/>
                <w:i w:val="0"/>
                <w:color w:val="auto"/>
                <w:kern w:val="0"/>
                <w:sz w:val="24"/>
                <w:szCs w:val="24"/>
                <w:highlight w:val="none"/>
                <w:u w:val="none"/>
                <w:lang w:val="en-US" w:eastAsia="zh-CN" w:bidi="ar"/>
              </w:rPr>
              <w:t>400</w:t>
            </w:r>
            <w:r>
              <w:rPr>
                <w:rFonts w:hint="default" w:ascii="Times New Roman" w:hAnsi="Times New Roman" w:eastAsia="宋体" w:cs="Times New Roman"/>
                <w:i w:val="0"/>
                <w:color w:val="auto"/>
                <w:kern w:val="0"/>
                <w:sz w:val="24"/>
                <w:szCs w:val="24"/>
                <w:highlight w:val="none"/>
                <w:u w:val="none"/>
                <w:lang w:val="en-US" w:eastAsia="zh-CN" w:bidi="ar"/>
              </w:rPr>
              <w:t>米的</w:t>
            </w:r>
            <w:r>
              <w:rPr>
                <w:rFonts w:hint="eastAsia" w:ascii="Times New Roman" w:hAnsi="Times New Roman" w:eastAsia="宋体" w:cs="Times New Roman"/>
                <w:i w:val="0"/>
                <w:color w:val="auto"/>
                <w:kern w:val="0"/>
                <w:sz w:val="24"/>
                <w:szCs w:val="24"/>
                <w:highlight w:val="none"/>
                <w:u w:val="none"/>
                <w:lang w:val="en-US" w:eastAsia="zh-CN" w:bidi="ar"/>
              </w:rPr>
              <w:t>DN200</w:t>
            </w:r>
            <w:r>
              <w:rPr>
                <w:rFonts w:hint="default" w:ascii="Times New Roman" w:hAnsi="Times New Roman" w:eastAsia="宋体" w:cs="Times New Roman"/>
                <w:i w:val="0"/>
                <w:color w:val="auto"/>
                <w:kern w:val="0"/>
                <w:sz w:val="24"/>
                <w:szCs w:val="24"/>
                <w:highlight w:val="none"/>
                <w:u w:val="none"/>
                <w:lang w:val="en-US" w:eastAsia="zh-CN" w:bidi="ar"/>
              </w:rPr>
              <w:t>压力管</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9876</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2195</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7681.00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湛江市坡头区上圩河综合治理工程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治理河道</w:t>
            </w:r>
            <w:r>
              <w:rPr>
                <w:rFonts w:hint="eastAsia" w:ascii="Times New Roman" w:hAnsi="Times New Roman" w:eastAsia="宋体" w:cs="Times New Roman"/>
                <w:i w:val="0"/>
                <w:color w:val="auto"/>
                <w:kern w:val="0"/>
                <w:sz w:val="24"/>
                <w:szCs w:val="24"/>
                <w:highlight w:val="none"/>
                <w:u w:val="none"/>
                <w:lang w:val="en-US" w:eastAsia="zh-CN" w:bidi="ar"/>
              </w:rPr>
              <w:t>12.7</w:t>
            </w:r>
            <w:r>
              <w:rPr>
                <w:rFonts w:hint="default" w:ascii="Times New Roman" w:hAnsi="Times New Roman" w:eastAsia="宋体" w:cs="Times New Roman"/>
                <w:i w:val="0"/>
                <w:color w:val="auto"/>
                <w:kern w:val="0"/>
                <w:sz w:val="24"/>
                <w:szCs w:val="24"/>
                <w:highlight w:val="none"/>
                <w:u w:val="none"/>
                <w:lang w:val="en-US" w:eastAsia="zh-CN" w:bidi="ar"/>
              </w:rPr>
              <w:t>公里。清淤疏浚、建设护岸、治理环境。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3013.00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313</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2700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生态环境综合治理项目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南三岛东海岸生态修复</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养殖排污治理工程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全岛养殖排污治理工程，分东南西北四个区域减少排污排放治理工程。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坡头镇区污水管网工程一期</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要建设内容为新建污水管网约</w:t>
            </w:r>
            <w:r>
              <w:rPr>
                <w:rFonts w:hint="eastAsia" w:ascii="Times New Roman" w:hAnsi="Times New Roman" w:eastAsia="宋体" w:cs="Times New Roman"/>
                <w:i w:val="0"/>
                <w:color w:val="auto"/>
                <w:kern w:val="0"/>
                <w:sz w:val="24"/>
                <w:szCs w:val="24"/>
                <w:highlight w:val="none"/>
                <w:u w:val="none"/>
                <w:lang w:val="en-US" w:eastAsia="zh-CN" w:bidi="ar"/>
              </w:rPr>
              <w:t>5.862</w:t>
            </w:r>
            <w:r>
              <w:rPr>
                <w:rFonts w:hint="default" w:ascii="Times New Roman" w:hAnsi="Times New Roman" w:eastAsia="宋体" w:cs="Times New Roman"/>
                <w:i w:val="0"/>
                <w:color w:val="auto"/>
                <w:kern w:val="0"/>
                <w:sz w:val="24"/>
                <w:szCs w:val="24"/>
                <w:highlight w:val="none"/>
                <w:u w:val="none"/>
                <w:lang w:val="en-US" w:eastAsia="zh-CN" w:bidi="ar"/>
              </w:rPr>
              <w:t>公里</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9869.78</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9869.78</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南三镇自来水厂</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万</w:t>
            </w:r>
            <w:r>
              <w:rPr>
                <w:rFonts w:hint="eastAsia" w:ascii="Times New Roman" w:hAnsi="Times New Roman" w:eastAsia="宋体" w:cs="Times New Roman"/>
                <w:i w:val="0"/>
                <w:color w:val="auto"/>
                <w:kern w:val="0"/>
                <w:sz w:val="24"/>
                <w:szCs w:val="24"/>
                <w:highlight w:val="none"/>
                <w:u w:val="none"/>
                <w:lang w:val="en-US" w:eastAsia="zh-CN" w:bidi="ar"/>
              </w:rPr>
              <w:t>M3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D</w:t>
            </w:r>
            <w:r>
              <w:rPr>
                <w:rFonts w:hint="default" w:ascii="Times New Roman" w:hAnsi="Times New Roman" w:eastAsia="宋体" w:cs="Times New Roman"/>
                <w:i w:val="0"/>
                <w:color w:val="auto"/>
                <w:kern w:val="0"/>
                <w:sz w:val="24"/>
                <w:szCs w:val="24"/>
                <w:highlight w:val="none"/>
                <w:u w:val="none"/>
                <w:lang w:val="en-US" w:eastAsia="zh-CN" w:bidi="ar"/>
              </w:rPr>
              <w:t>净水厂及配套管网，总投资估算</w:t>
            </w:r>
            <w:r>
              <w:rPr>
                <w:rFonts w:hint="eastAsia" w:ascii="Times New Roman" w:hAnsi="Times New Roman" w:eastAsia="宋体" w:cs="Times New Roman"/>
                <w:i w:val="0"/>
                <w:color w:val="auto"/>
                <w:kern w:val="0"/>
                <w:sz w:val="24"/>
                <w:szCs w:val="24"/>
                <w:highlight w:val="none"/>
                <w:u w:val="none"/>
                <w:lang w:val="en-US" w:eastAsia="zh-CN" w:bidi="ar"/>
              </w:rPr>
              <w:t>3.093</w:t>
            </w:r>
            <w:r>
              <w:rPr>
                <w:rFonts w:hint="default" w:ascii="Times New Roman" w:hAnsi="Times New Roman" w:eastAsia="宋体" w:cs="Times New Roman"/>
                <w:i w:val="0"/>
                <w:color w:val="auto"/>
                <w:kern w:val="0"/>
                <w:sz w:val="24"/>
                <w:szCs w:val="24"/>
                <w:highlight w:val="none"/>
                <w:u w:val="none"/>
                <w:lang w:val="en-US" w:eastAsia="zh-CN" w:bidi="ar"/>
              </w:rPr>
              <w:t>亿元，水厂总用地面积</w:t>
            </w:r>
            <w:r>
              <w:rPr>
                <w:rFonts w:hint="eastAsia" w:ascii="Times New Roman" w:hAnsi="Times New Roman" w:eastAsia="宋体" w:cs="Times New Roman"/>
                <w:i w:val="0"/>
                <w:color w:val="auto"/>
                <w:kern w:val="0"/>
                <w:sz w:val="24"/>
                <w:szCs w:val="24"/>
                <w:highlight w:val="none"/>
                <w:u w:val="none"/>
                <w:lang w:val="en-US" w:eastAsia="zh-CN" w:bidi="ar"/>
              </w:rPr>
              <w:t>80</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30900.00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1680.00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20800.00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南三岛东部污水处理站</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建设日处理污水</w:t>
            </w:r>
            <w:r>
              <w:rPr>
                <w:rFonts w:hint="eastAsia" w:ascii="Times New Roman" w:hAnsi="Times New Roman" w:eastAsia="宋体" w:cs="Times New Roman"/>
                <w:i w:val="0"/>
                <w:color w:val="auto"/>
                <w:kern w:val="0"/>
                <w:sz w:val="24"/>
                <w:szCs w:val="24"/>
                <w:highlight w:val="none"/>
                <w:u w:val="none"/>
                <w:lang w:val="en-US" w:eastAsia="zh-CN" w:bidi="ar"/>
              </w:rPr>
              <w:t>300</w:t>
            </w:r>
            <w:r>
              <w:rPr>
                <w:rFonts w:hint="default" w:ascii="Times New Roman" w:hAnsi="Times New Roman" w:eastAsia="宋体" w:cs="Times New Roman"/>
                <w:i w:val="0"/>
                <w:color w:val="auto"/>
                <w:kern w:val="0"/>
                <w:sz w:val="24"/>
                <w:szCs w:val="24"/>
                <w:highlight w:val="none"/>
                <w:u w:val="none"/>
                <w:lang w:val="en-US" w:eastAsia="zh-CN" w:bidi="ar"/>
              </w:rPr>
              <w:t>吨的污水处理站，规划用地面积</w:t>
            </w:r>
            <w:r>
              <w:rPr>
                <w:rFonts w:hint="eastAsia" w:ascii="Times New Roman" w:hAnsi="Times New Roman" w:eastAsia="宋体" w:cs="Times New Roman"/>
                <w:i w:val="0"/>
                <w:color w:val="auto"/>
                <w:kern w:val="0"/>
                <w:sz w:val="24"/>
                <w:szCs w:val="24"/>
                <w:highlight w:val="none"/>
                <w:u w:val="none"/>
                <w:lang w:val="en-US" w:eastAsia="zh-CN" w:bidi="ar"/>
              </w:rPr>
              <w:t>17</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湛江市坡头区官渡挡潮排水闸重建工程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移址重建官渡水闸，移址重建官渡水闸，水闸工程等别为Ⅲ等，主要永久性建筑物为</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级，次要永久性建筑物级别为</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级，临时建筑物级别为</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级。设计挡潮闸的挡潮标准为</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年一遇，历史最高潮位进行校核。主要建筑物有：上游混凝土护坦段、海漫段、消力池段、混凝土铺盖段和上游左右两岸护岸、闸室段和下游消力池段、海漫段、防冲槽段及下游左右两岸护岸，上游连接段长</w:t>
            </w:r>
            <w:r>
              <w:rPr>
                <w:rFonts w:hint="eastAsia" w:ascii="Times New Roman" w:hAnsi="Times New Roman" w:eastAsia="宋体" w:cs="Times New Roman"/>
                <w:i w:val="0"/>
                <w:color w:val="auto"/>
                <w:kern w:val="0"/>
                <w:sz w:val="24"/>
                <w:szCs w:val="24"/>
                <w:highlight w:val="none"/>
                <w:u w:val="none"/>
                <w:lang w:val="en-US" w:eastAsia="zh-CN" w:bidi="ar"/>
              </w:rPr>
              <w:t>90M</w:t>
            </w:r>
            <w:r>
              <w:rPr>
                <w:rFonts w:hint="default" w:ascii="Times New Roman" w:hAnsi="Times New Roman" w:eastAsia="宋体" w:cs="Times New Roman"/>
                <w:i w:val="0"/>
                <w:color w:val="auto"/>
                <w:kern w:val="0"/>
                <w:sz w:val="24"/>
                <w:szCs w:val="24"/>
                <w:highlight w:val="none"/>
                <w:u w:val="none"/>
                <w:lang w:val="en-US" w:eastAsia="zh-CN" w:bidi="ar"/>
              </w:rPr>
              <w:t>,闸室段长</w:t>
            </w:r>
            <w:r>
              <w:rPr>
                <w:rFonts w:hint="eastAsia" w:ascii="Times New Roman" w:hAnsi="Times New Roman" w:eastAsia="宋体" w:cs="Times New Roman"/>
                <w:i w:val="0"/>
                <w:color w:val="auto"/>
                <w:kern w:val="0"/>
                <w:sz w:val="24"/>
                <w:szCs w:val="24"/>
                <w:highlight w:val="none"/>
                <w:u w:val="none"/>
                <w:lang w:val="en-US" w:eastAsia="zh-CN" w:bidi="ar"/>
              </w:rPr>
              <w:t>18M</w:t>
            </w:r>
            <w:r>
              <w:rPr>
                <w:rFonts w:hint="default" w:ascii="Times New Roman" w:hAnsi="Times New Roman" w:eastAsia="宋体" w:cs="Times New Roman"/>
                <w:i w:val="0"/>
                <w:color w:val="auto"/>
                <w:kern w:val="0"/>
                <w:sz w:val="24"/>
                <w:szCs w:val="24"/>
                <w:highlight w:val="none"/>
                <w:u w:val="none"/>
                <w:lang w:val="en-US" w:eastAsia="zh-CN" w:bidi="ar"/>
              </w:rPr>
              <w:t>,下游连接段长</w:t>
            </w:r>
            <w:r>
              <w:rPr>
                <w:rFonts w:hint="eastAsia" w:ascii="Times New Roman" w:hAnsi="Times New Roman" w:eastAsia="宋体" w:cs="Times New Roman"/>
                <w:i w:val="0"/>
                <w:color w:val="auto"/>
                <w:kern w:val="0"/>
                <w:sz w:val="24"/>
                <w:szCs w:val="24"/>
                <w:highlight w:val="none"/>
                <w:u w:val="none"/>
                <w:lang w:val="en-US" w:eastAsia="zh-CN" w:bidi="ar"/>
              </w:rPr>
              <w:t>87M</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4300.00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湛江市坡头区南禾联围海堤加固达标工程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加固达标海堤</w:t>
            </w:r>
            <w:r>
              <w:rPr>
                <w:rFonts w:hint="eastAsia" w:ascii="Times New Roman" w:hAnsi="Times New Roman" w:eastAsia="宋体" w:cs="Times New Roman"/>
                <w:i w:val="0"/>
                <w:color w:val="auto"/>
                <w:kern w:val="0"/>
                <w:sz w:val="24"/>
                <w:szCs w:val="24"/>
                <w:highlight w:val="none"/>
                <w:u w:val="none"/>
                <w:lang w:val="en-US" w:eastAsia="zh-CN" w:bidi="ar"/>
              </w:rPr>
              <w:t>11.1</w:t>
            </w:r>
            <w:r>
              <w:rPr>
                <w:rFonts w:hint="default" w:ascii="Times New Roman" w:hAnsi="Times New Roman" w:eastAsia="宋体" w:cs="Times New Roman"/>
                <w:i w:val="0"/>
                <w:color w:val="auto"/>
                <w:kern w:val="0"/>
                <w:sz w:val="24"/>
                <w:szCs w:val="24"/>
                <w:highlight w:val="none"/>
                <w:u w:val="none"/>
                <w:lang w:val="en-US" w:eastAsia="zh-CN" w:bidi="ar"/>
              </w:rPr>
              <w:t>公里，防洪防潮标准</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年一遇。堤身加高</w:t>
            </w:r>
            <w:r>
              <w:rPr>
                <w:rFonts w:hint="eastAsia" w:ascii="Times New Roman" w:hAnsi="Times New Roman" w:eastAsia="宋体" w:cs="Times New Roman"/>
                <w:i w:val="0"/>
                <w:color w:val="auto"/>
                <w:kern w:val="0"/>
                <w:sz w:val="24"/>
                <w:szCs w:val="24"/>
                <w:highlight w:val="none"/>
                <w:u w:val="none"/>
                <w:lang w:val="en-US" w:eastAsia="zh-CN" w:bidi="ar"/>
              </w:rPr>
              <w:t>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3M</w:t>
            </w:r>
            <w:r>
              <w:rPr>
                <w:rFonts w:hint="default" w:ascii="Times New Roman" w:hAnsi="Times New Roman" w:eastAsia="宋体" w:cs="Times New Roman"/>
                <w:i w:val="0"/>
                <w:color w:val="auto"/>
                <w:kern w:val="0"/>
                <w:sz w:val="24"/>
                <w:szCs w:val="24"/>
                <w:highlight w:val="none"/>
                <w:u w:val="none"/>
                <w:lang w:val="en-US" w:eastAsia="zh-CN" w:bidi="ar"/>
              </w:rPr>
              <w:t>，堤顶宽度</w:t>
            </w:r>
            <w:r>
              <w:rPr>
                <w:rFonts w:hint="eastAsia" w:ascii="Times New Roman" w:hAnsi="Times New Roman" w:eastAsia="宋体" w:cs="Times New Roman"/>
                <w:i w:val="0"/>
                <w:color w:val="auto"/>
                <w:kern w:val="0"/>
                <w:sz w:val="24"/>
                <w:szCs w:val="24"/>
                <w:highlight w:val="none"/>
                <w:u w:val="none"/>
                <w:lang w:val="en-US" w:eastAsia="zh-CN" w:bidi="ar"/>
              </w:rPr>
              <w:t>6M</w:t>
            </w:r>
            <w:r>
              <w:rPr>
                <w:rFonts w:hint="default" w:ascii="Times New Roman" w:hAnsi="Times New Roman" w:eastAsia="宋体" w:cs="Times New Roman"/>
                <w:i w:val="0"/>
                <w:color w:val="auto"/>
                <w:kern w:val="0"/>
                <w:sz w:val="24"/>
                <w:szCs w:val="24"/>
                <w:highlight w:val="none"/>
                <w:u w:val="none"/>
                <w:lang w:val="en-US" w:eastAsia="zh-CN" w:bidi="ar"/>
              </w:rPr>
              <w:t>，混凝土护坡，抛石护脚，浆砌石防浪墙，混凝土路面，直斜式堤型，涵闸加固。</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69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湛江市坡头区北马围海堤海儿新堤段建设工程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新建海堤</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公里，防洪防潮标准</w:t>
            </w:r>
            <w:r>
              <w:rPr>
                <w:rFonts w:hint="eastAsia" w:ascii="Times New Roman" w:hAnsi="Times New Roman" w:eastAsia="宋体" w:cs="Times New Roman"/>
                <w:i w:val="0"/>
                <w:color w:val="auto"/>
                <w:kern w:val="0"/>
                <w:sz w:val="24"/>
                <w:szCs w:val="24"/>
                <w:highlight w:val="none"/>
                <w:u w:val="none"/>
                <w:lang w:val="en-US" w:eastAsia="zh-CN" w:bidi="ar"/>
              </w:rPr>
              <w:t>20</w:t>
            </w:r>
            <w:r>
              <w:rPr>
                <w:rFonts w:hint="default" w:ascii="Times New Roman" w:hAnsi="Times New Roman" w:eastAsia="宋体" w:cs="Times New Roman"/>
                <w:i w:val="0"/>
                <w:color w:val="auto"/>
                <w:kern w:val="0"/>
                <w:sz w:val="24"/>
                <w:szCs w:val="24"/>
                <w:highlight w:val="none"/>
                <w:u w:val="none"/>
                <w:lang w:val="en-US" w:eastAsia="zh-CN" w:bidi="ar"/>
              </w:rPr>
              <w:t>年一遇。堤身加高</w:t>
            </w:r>
            <w:r>
              <w:rPr>
                <w:rFonts w:hint="eastAsia" w:ascii="Times New Roman" w:hAnsi="Times New Roman" w:eastAsia="宋体" w:cs="Times New Roman"/>
                <w:i w:val="0"/>
                <w:color w:val="auto"/>
                <w:kern w:val="0"/>
                <w:sz w:val="24"/>
                <w:szCs w:val="24"/>
                <w:highlight w:val="none"/>
                <w:u w:val="none"/>
                <w:lang w:val="en-US" w:eastAsia="zh-CN" w:bidi="ar"/>
              </w:rPr>
              <w:t>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3M</w:t>
            </w:r>
            <w:r>
              <w:rPr>
                <w:rFonts w:hint="default" w:ascii="Times New Roman" w:hAnsi="Times New Roman" w:eastAsia="宋体" w:cs="Times New Roman"/>
                <w:i w:val="0"/>
                <w:color w:val="auto"/>
                <w:kern w:val="0"/>
                <w:sz w:val="24"/>
                <w:szCs w:val="24"/>
                <w:highlight w:val="none"/>
                <w:u w:val="none"/>
                <w:lang w:val="en-US" w:eastAsia="zh-CN" w:bidi="ar"/>
              </w:rPr>
              <w:t>，堤顶宽度</w:t>
            </w:r>
            <w:r>
              <w:rPr>
                <w:rFonts w:hint="eastAsia" w:ascii="Times New Roman" w:hAnsi="Times New Roman" w:eastAsia="宋体" w:cs="Times New Roman"/>
                <w:i w:val="0"/>
                <w:color w:val="auto"/>
                <w:kern w:val="0"/>
                <w:sz w:val="24"/>
                <w:szCs w:val="24"/>
                <w:highlight w:val="none"/>
                <w:u w:val="none"/>
                <w:lang w:val="en-US" w:eastAsia="zh-CN" w:bidi="ar"/>
              </w:rPr>
              <w:t>3M</w:t>
            </w:r>
            <w:r>
              <w:rPr>
                <w:rFonts w:hint="default" w:ascii="Times New Roman" w:hAnsi="Times New Roman" w:eastAsia="宋体" w:cs="Times New Roman"/>
                <w:i w:val="0"/>
                <w:color w:val="auto"/>
                <w:kern w:val="0"/>
                <w:sz w:val="24"/>
                <w:szCs w:val="24"/>
                <w:highlight w:val="none"/>
                <w:u w:val="none"/>
                <w:lang w:val="en-US" w:eastAsia="zh-CN" w:bidi="ar"/>
              </w:rPr>
              <w:t>，临海侧混凝土护坡，背海草皮护坡，抛石护脚，混凝土路面，斜坡式堤型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4800.00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湛江市坡头区南三联围海堤沙头段建设工程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新建海堤</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公里，防洪防潮标准</w:t>
            </w:r>
            <w:r>
              <w:rPr>
                <w:rFonts w:hint="eastAsia" w:ascii="Times New Roman" w:hAnsi="Times New Roman" w:eastAsia="宋体" w:cs="Times New Roman"/>
                <w:i w:val="0"/>
                <w:color w:val="auto"/>
                <w:kern w:val="0"/>
                <w:sz w:val="24"/>
                <w:szCs w:val="24"/>
                <w:highlight w:val="none"/>
                <w:u w:val="none"/>
                <w:lang w:val="en-US" w:eastAsia="zh-CN" w:bidi="ar"/>
              </w:rPr>
              <w:t>20</w:t>
            </w:r>
            <w:r>
              <w:rPr>
                <w:rFonts w:hint="default" w:ascii="Times New Roman" w:hAnsi="Times New Roman" w:eastAsia="宋体" w:cs="Times New Roman"/>
                <w:i w:val="0"/>
                <w:color w:val="auto"/>
                <w:kern w:val="0"/>
                <w:sz w:val="24"/>
                <w:szCs w:val="24"/>
                <w:highlight w:val="none"/>
                <w:u w:val="none"/>
                <w:lang w:val="en-US" w:eastAsia="zh-CN" w:bidi="ar"/>
              </w:rPr>
              <w:t>年一遇。堤身加高</w:t>
            </w:r>
            <w:r>
              <w:rPr>
                <w:rFonts w:hint="eastAsia" w:ascii="Times New Roman" w:hAnsi="Times New Roman" w:eastAsia="宋体" w:cs="Times New Roman"/>
                <w:i w:val="0"/>
                <w:color w:val="auto"/>
                <w:kern w:val="0"/>
                <w:sz w:val="24"/>
                <w:szCs w:val="24"/>
                <w:highlight w:val="none"/>
                <w:u w:val="none"/>
                <w:lang w:val="en-US" w:eastAsia="zh-CN" w:bidi="ar"/>
              </w:rPr>
              <w:t>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3M</w:t>
            </w:r>
            <w:r>
              <w:rPr>
                <w:rFonts w:hint="default" w:ascii="Times New Roman" w:hAnsi="Times New Roman" w:eastAsia="宋体" w:cs="Times New Roman"/>
                <w:i w:val="0"/>
                <w:color w:val="auto"/>
                <w:kern w:val="0"/>
                <w:sz w:val="24"/>
                <w:szCs w:val="24"/>
                <w:highlight w:val="none"/>
                <w:u w:val="none"/>
                <w:lang w:val="en-US" w:eastAsia="zh-CN" w:bidi="ar"/>
              </w:rPr>
              <w:t>，堤顶宽度</w:t>
            </w:r>
            <w:r>
              <w:rPr>
                <w:rFonts w:hint="eastAsia" w:ascii="Times New Roman" w:hAnsi="Times New Roman" w:eastAsia="宋体" w:cs="Times New Roman"/>
                <w:i w:val="0"/>
                <w:color w:val="auto"/>
                <w:kern w:val="0"/>
                <w:sz w:val="24"/>
                <w:szCs w:val="24"/>
                <w:highlight w:val="none"/>
                <w:u w:val="none"/>
                <w:lang w:val="en-US" w:eastAsia="zh-CN" w:bidi="ar"/>
              </w:rPr>
              <w:t>4M</w:t>
            </w:r>
            <w:r>
              <w:rPr>
                <w:rFonts w:hint="default" w:ascii="Times New Roman" w:hAnsi="Times New Roman" w:eastAsia="宋体" w:cs="Times New Roman"/>
                <w:i w:val="0"/>
                <w:color w:val="auto"/>
                <w:kern w:val="0"/>
                <w:sz w:val="24"/>
                <w:szCs w:val="24"/>
                <w:highlight w:val="none"/>
                <w:u w:val="none"/>
                <w:lang w:val="en-US" w:eastAsia="zh-CN" w:bidi="ar"/>
              </w:rPr>
              <w:t>，临海侧混凝土护坡，背海草皮护坡，抛石护脚，钢筋混凝土防浪墙，混凝土路面，斜坡式堤型，涵闸加固</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4800.00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湛江市坡头区消坡水闸重建工程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移址重建消坡水闸。</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4200.00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湛江市坡头区巴林联围海堤加固达标工程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加固达标海堤</w:t>
            </w:r>
            <w:r>
              <w:rPr>
                <w:rFonts w:hint="eastAsia" w:ascii="Times New Roman" w:hAnsi="Times New Roman" w:eastAsia="宋体" w:cs="Times New Roman"/>
                <w:i w:val="0"/>
                <w:color w:val="auto"/>
                <w:kern w:val="0"/>
                <w:sz w:val="24"/>
                <w:szCs w:val="24"/>
                <w:highlight w:val="none"/>
                <w:u w:val="none"/>
                <w:lang w:val="en-US" w:eastAsia="zh-CN" w:bidi="ar"/>
              </w:rPr>
              <w:t>8.88</w:t>
            </w:r>
            <w:r>
              <w:rPr>
                <w:rFonts w:hint="default" w:ascii="Times New Roman" w:hAnsi="Times New Roman" w:eastAsia="宋体" w:cs="Times New Roman"/>
                <w:i w:val="0"/>
                <w:color w:val="auto"/>
                <w:kern w:val="0"/>
                <w:sz w:val="24"/>
                <w:szCs w:val="24"/>
                <w:highlight w:val="none"/>
                <w:u w:val="none"/>
                <w:lang w:val="en-US" w:eastAsia="zh-CN" w:bidi="ar"/>
              </w:rPr>
              <w:t>公里，防洪防潮标准</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年一遇。堤身加高</w:t>
            </w:r>
            <w:r>
              <w:rPr>
                <w:rFonts w:hint="eastAsia" w:ascii="Times New Roman" w:hAnsi="Times New Roman" w:eastAsia="宋体" w:cs="Times New Roman"/>
                <w:i w:val="0"/>
                <w:color w:val="auto"/>
                <w:kern w:val="0"/>
                <w:sz w:val="24"/>
                <w:szCs w:val="24"/>
                <w:highlight w:val="none"/>
                <w:u w:val="none"/>
                <w:lang w:val="en-US" w:eastAsia="zh-CN" w:bidi="ar"/>
              </w:rPr>
              <w:t>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3M</w:t>
            </w:r>
            <w:r>
              <w:rPr>
                <w:rFonts w:hint="default" w:ascii="Times New Roman" w:hAnsi="Times New Roman" w:eastAsia="宋体" w:cs="Times New Roman"/>
                <w:i w:val="0"/>
                <w:color w:val="auto"/>
                <w:kern w:val="0"/>
                <w:sz w:val="24"/>
                <w:szCs w:val="24"/>
                <w:highlight w:val="none"/>
                <w:u w:val="none"/>
                <w:lang w:val="en-US" w:eastAsia="zh-CN" w:bidi="ar"/>
              </w:rPr>
              <w:t>，堤顶宽度</w:t>
            </w:r>
            <w:r>
              <w:rPr>
                <w:rFonts w:hint="eastAsia" w:ascii="Times New Roman" w:hAnsi="Times New Roman" w:eastAsia="宋体" w:cs="Times New Roman"/>
                <w:i w:val="0"/>
                <w:color w:val="auto"/>
                <w:kern w:val="0"/>
                <w:sz w:val="24"/>
                <w:szCs w:val="24"/>
                <w:highlight w:val="none"/>
                <w:u w:val="none"/>
                <w:lang w:val="en-US" w:eastAsia="zh-CN" w:bidi="ar"/>
              </w:rPr>
              <w:t>6M</w:t>
            </w:r>
            <w:r>
              <w:rPr>
                <w:rFonts w:hint="default" w:ascii="Times New Roman" w:hAnsi="Times New Roman" w:eastAsia="宋体" w:cs="Times New Roman"/>
                <w:i w:val="0"/>
                <w:color w:val="auto"/>
                <w:kern w:val="0"/>
                <w:sz w:val="24"/>
                <w:szCs w:val="24"/>
                <w:highlight w:val="none"/>
                <w:u w:val="none"/>
                <w:lang w:val="en-US" w:eastAsia="zh-CN" w:bidi="ar"/>
              </w:rPr>
              <w:t>，混凝土护坡，抛石护脚，浆砌石防浪墙，混凝土路面，直斜式堤型，涵闸加固。</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湛江市坡头区北马围引鉴灌区续建配套及节水改造工程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改变目前北马围引鉴灌区的状况，提高水资源利用效率，促进灌区工程的良性运行，拟通过对灌区进行续建配套和节水改造，使老灌区重新发挥其的效益，促进我区农业农村现代化的发展。本项目主要建设内容包括：</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、渠道整治防渗①主干渠桩号</w:t>
            </w:r>
            <w:r>
              <w:rPr>
                <w:rFonts w:hint="eastAsia" w:ascii="Times New Roman" w:hAnsi="Times New Roman" w:eastAsia="宋体" w:cs="Times New Roman"/>
                <w:i w:val="0"/>
                <w:color w:val="auto"/>
                <w:kern w:val="0"/>
                <w:sz w:val="24"/>
                <w:szCs w:val="24"/>
                <w:highlight w:val="none"/>
                <w:u w:val="none"/>
                <w:lang w:val="en-US" w:eastAsia="zh-CN" w:bidi="ar"/>
              </w:rPr>
              <w:t>K0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000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K6</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146</w:t>
            </w:r>
            <w:r>
              <w:rPr>
                <w:rFonts w:hint="default" w:ascii="Times New Roman" w:hAnsi="Times New Roman" w:eastAsia="宋体" w:cs="Times New Roman"/>
                <w:i w:val="0"/>
                <w:color w:val="auto"/>
                <w:kern w:val="0"/>
                <w:sz w:val="24"/>
                <w:szCs w:val="24"/>
                <w:highlight w:val="none"/>
                <w:u w:val="none"/>
                <w:lang w:val="en-US" w:eastAsia="zh-CN" w:bidi="ar"/>
              </w:rPr>
              <w:t>约</w:t>
            </w:r>
            <w:r>
              <w:rPr>
                <w:rFonts w:hint="eastAsia" w:ascii="Times New Roman" w:hAnsi="Times New Roman" w:eastAsia="宋体" w:cs="Times New Roman"/>
                <w:i w:val="0"/>
                <w:color w:val="auto"/>
                <w:kern w:val="0"/>
                <w:sz w:val="24"/>
                <w:szCs w:val="24"/>
                <w:highlight w:val="none"/>
                <w:u w:val="none"/>
                <w:lang w:val="en-US" w:eastAsia="zh-CN" w:bidi="ar"/>
              </w:rPr>
              <w:t>6146M</w:t>
            </w:r>
            <w:r>
              <w:rPr>
                <w:rFonts w:hint="default" w:ascii="Times New Roman" w:hAnsi="Times New Roman" w:eastAsia="宋体" w:cs="Times New Roman"/>
                <w:i w:val="0"/>
                <w:color w:val="auto"/>
                <w:kern w:val="0"/>
                <w:sz w:val="24"/>
                <w:szCs w:val="24"/>
                <w:highlight w:val="none"/>
                <w:u w:val="none"/>
                <w:lang w:val="en-US" w:eastAsia="zh-CN" w:bidi="ar"/>
              </w:rPr>
              <w:t>；大仁堂干渠</w:t>
            </w:r>
            <w:r>
              <w:rPr>
                <w:rFonts w:hint="eastAsia" w:ascii="Times New Roman" w:hAnsi="Times New Roman" w:eastAsia="宋体" w:cs="Times New Roman"/>
                <w:i w:val="0"/>
                <w:color w:val="auto"/>
                <w:kern w:val="0"/>
                <w:sz w:val="24"/>
                <w:szCs w:val="24"/>
                <w:highlight w:val="none"/>
                <w:u w:val="none"/>
                <w:lang w:val="en-US" w:eastAsia="zh-CN" w:bidi="ar"/>
              </w:rPr>
              <w:t>900M</w:t>
            </w:r>
            <w:r>
              <w:rPr>
                <w:rFonts w:hint="default" w:ascii="Times New Roman" w:hAnsi="Times New Roman" w:eastAsia="宋体" w:cs="Times New Roman"/>
                <w:i w:val="0"/>
                <w:color w:val="auto"/>
                <w:kern w:val="0"/>
                <w:sz w:val="24"/>
                <w:szCs w:val="24"/>
                <w:highlight w:val="none"/>
                <w:u w:val="none"/>
                <w:lang w:val="en-US" w:eastAsia="zh-CN" w:bidi="ar"/>
              </w:rPr>
              <w:t>②灌区内具有排涝功能的渠道整治共</w:t>
            </w:r>
            <w:r>
              <w:rPr>
                <w:rFonts w:hint="eastAsia" w:ascii="Times New Roman" w:hAnsi="Times New Roman" w:eastAsia="宋体" w:cs="Times New Roman"/>
                <w:i w:val="0"/>
                <w:color w:val="auto"/>
                <w:kern w:val="0"/>
                <w:sz w:val="24"/>
                <w:szCs w:val="24"/>
                <w:highlight w:val="none"/>
                <w:u w:val="none"/>
                <w:lang w:val="en-US" w:eastAsia="zh-CN" w:bidi="ar"/>
              </w:rPr>
              <w:t>9281M</w:t>
            </w:r>
            <w:r>
              <w:rPr>
                <w:rFonts w:hint="default" w:ascii="Times New Roman" w:hAnsi="Times New Roman" w:eastAsia="宋体" w:cs="Times New Roman"/>
                <w:i w:val="0"/>
                <w:color w:val="auto"/>
                <w:kern w:val="0"/>
                <w:sz w:val="24"/>
                <w:szCs w:val="24"/>
                <w:highlight w:val="none"/>
                <w:u w:val="none"/>
                <w:lang w:val="en-US" w:eastAsia="zh-CN" w:bidi="ar"/>
              </w:rPr>
              <w:t>；各电灌站引水渠道整治</w:t>
            </w:r>
            <w:r>
              <w:rPr>
                <w:rFonts w:hint="eastAsia" w:ascii="Times New Roman" w:hAnsi="Times New Roman" w:eastAsia="宋体" w:cs="Times New Roman"/>
                <w:i w:val="0"/>
                <w:color w:val="auto"/>
                <w:kern w:val="0"/>
                <w:sz w:val="24"/>
                <w:szCs w:val="24"/>
                <w:highlight w:val="none"/>
                <w:u w:val="none"/>
                <w:lang w:val="en-US" w:eastAsia="zh-CN" w:bidi="ar"/>
              </w:rPr>
              <w:t>2632M</w:t>
            </w:r>
            <w:r>
              <w:rPr>
                <w:rFonts w:hint="default" w:ascii="Times New Roman" w:hAnsi="Times New Roman" w:eastAsia="宋体" w:cs="Times New Roman"/>
                <w:i w:val="0"/>
                <w:color w:val="auto"/>
                <w:kern w:val="0"/>
                <w:sz w:val="24"/>
                <w:szCs w:val="24"/>
                <w:highlight w:val="none"/>
                <w:u w:val="none"/>
                <w:lang w:val="en-US" w:eastAsia="zh-CN" w:bidi="ar"/>
              </w:rPr>
              <w:t>③各电灌站干支渠及分支渠防渗整治，共</w:t>
            </w:r>
            <w:r>
              <w:rPr>
                <w:rFonts w:hint="eastAsia" w:ascii="Times New Roman" w:hAnsi="Times New Roman" w:eastAsia="宋体" w:cs="Times New Roman"/>
                <w:i w:val="0"/>
                <w:color w:val="auto"/>
                <w:kern w:val="0"/>
                <w:sz w:val="24"/>
                <w:szCs w:val="24"/>
                <w:highlight w:val="none"/>
                <w:u w:val="none"/>
                <w:lang w:val="en-US" w:eastAsia="zh-CN" w:bidi="ar"/>
              </w:rPr>
              <w:t>45</w:t>
            </w:r>
            <w:r>
              <w:rPr>
                <w:rFonts w:hint="default" w:ascii="Times New Roman" w:hAnsi="Times New Roman" w:eastAsia="宋体" w:cs="Times New Roman"/>
                <w:i w:val="0"/>
                <w:color w:val="auto"/>
                <w:kern w:val="0"/>
                <w:sz w:val="24"/>
                <w:szCs w:val="24"/>
                <w:highlight w:val="none"/>
                <w:u w:val="none"/>
                <w:lang w:val="en-US" w:eastAsia="zh-CN" w:bidi="ar"/>
              </w:rPr>
              <w:t>条，总长</w:t>
            </w:r>
            <w:r>
              <w:rPr>
                <w:rFonts w:hint="eastAsia" w:ascii="Times New Roman" w:hAnsi="Times New Roman" w:eastAsia="宋体" w:cs="Times New Roman"/>
                <w:i w:val="0"/>
                <w:color w:val="auto"/>
                <w:kern w:val="0"/>
                <w:sz w:val="24"/>
                <w:szCs w:val="24"/>
                <w:highlight w:val="none"/>
                <w:u w:val="none"/>
                <w:lang w:val="en-US" w:eastAsia="zh-CN" w:bidi="ar"/>
              </w:rPr>
              <w:t>36430M</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、渠系建筑物节水配套改造①重建公路桥</w:t>
            </w:r>
            <w:r>
              <w:rPr>
                <w:rFonts w:hint="eastAsia" w:ascii="Times New Roman" w:hAnsi="Times New Roman" w:eastAsia="宋体" w:cs="Times New Roman"/>
                <w:i w:val="0"/>
                <w:color w:val="auto"/>
                <w:kern w:val="0"/>
                <w:sz w:val="24"/>
                <w:szCs w:val="24"/>
                <w:highlight w:val="none"/>
                <w:u w:val="none"/>
                <w:lang w:val="en-US" w:eastAsia="zh-CN" w:bidi="ar"/>
              </w:rPr>
              <w:t>28</w:t>
            </w:r>
            <w:r>
              <w:rPr>
                <w:rFonts w:hint="default" w:ascii="Times New Roman" w:hAnsi="Times New Roman" w:eastAsia="宋体" w:cs="Times New Roman"/>
                <w:i w:val="0"/>
                <w:color w:val="auto"/>
                <w:kern w:val="0"/>
                <w:sz w:val="24"/>
                <w:szCs w:val="24"/>
                <w:highlight w:val="none"/>
                <w:u w:val="none"/>
                <w:lang w:val="en-US" w:eastAsia="zh-CN" w:bidi="ar"/>
              </w:rPr>
              <w:t>座，重建机耕桥</w:t>
            </w:r>
            <w:r>
              <w:rPr>
                <w:rFonts w:hint="eastAsia" w:ascii="Times New Roman" w:hAnsi="Times New Roman" w:eastAsia="宋体" w:cs="Times New Roman"/>
                <w:i w:val="0"/>
                <w:color w:val="auto"/>
                <w:kern w:val="0"/>
                <w:sz w:val="24"/>
                <w:szCs w:val="24"/>
                <w:highlight w:val="none"/>
                <w:u w:val="none"/>
                <w:lang w:val="en-US" w:eastAsia="zh-CN" w:bidi="ar"/>
              </w:rPr>
              <w:t>30</w:t>
            </w:r>
            <w:r>
              <w:rPr>
                <w:rFonts w:hint="default" w:ascii="Times New Roman" w:hAnsi="Times New Roman" w:eastAsia="宋体" w:cs="Times New Roman"/>
                <w:i w:val="0"/>
                <w:color w:val="auto"/>
                <w:kern w:val="0"/>
                <w:sz w:val="24"/>
                <w:szCs w:val="24"/>
                <w:highlight w:val="none"/>
                <w:u w:val="none"/>
                <w:lang w:val="en-US" w:eastAsia="zh-CN" w:bidi="ar"/>
              </w:rPr>
              <w:t>座。②重建电灌站</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座，新建电灌站</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座；③改造进水闸</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座。</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2600.00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2600.00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湛江海东新区水质净化厂及配套管网一期工程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海东新区水质净化厂配套管网拟建污水主干管、支管、水质净化厂尾水排放管（不含接户管）共</w:t>
            </w:r>
            <w:r>
              <w:rPr>
                <w:rFonts w:hint="eastAsia" w:ascii="Times New Roman" w:hAnsi="Times New Roman" w:eastAsia="宋体" w:cs="Times New Roman"/>
                <w:i w:val="0"/>
                <w:color w:val="auto"/>
                <w:kern w:val="0"/>
                <w:sz w:val="24"/>
                <w:szCs w:val="24"/>
                <w:highlight w:val="none"/>
                <w:u w:val="none"/>
                <w:lang w:val="en-US" w:eastAsia="zh-CN" w:bidi="ar"/>
              </w:rPr>
              <w:t>57.7KM</w:t>
            </w:r>
            <w:r>
              <w:rPr>
                <w:rFonts w:hint="default" w:ascii="Times New Roman" w:hAnsi="Times New Roman" w:eastAsia="宋体" w:cs="Times New Roman"/>
                <w:i w:val="0"/>
                <w:color w:val="auto"/>
                <w:kern w:val="0"/>
                <w:sz w:val="24"/>
                <w:szCs w:val="24"/>
                <w:highlight w:val="none"/>
                <w:u w:val="none"/>
                <w:lang w:val="en-US" w:eastAsia="zh-CN" w:bidi="ar"/>
              </w:rPr>
              <w:t>，其中起步区近期拟建污水主干管、支管共</w:t>
            </w:r>
            <w:r>
              <w:rPr>
                <w:rFonts w:hint="eastAsia" w:ascii="Times New Roman" w:hAnsi="Times New Roman" w:eastAsia="宋体" w:cs="Times New Roman"/>
                <w:i w:val="0"/>
                <w:color w:val="auto"/>
                <w:kern w:val="0"/>
                <w:sz w:val="24"/>
                <w:szCs w:val="24"/>
                <w:highlight w:val="none"/>
                <w:u w:val="none"/>
                <w:lang w:val="en-US" w:eastAsia="zh-CN" w:bidi="ar"/>
              </w:rPr>
              <w:t>29.63KM</w:t>
            </w:r>
            <w:r>
              <w:rPr>
                <w:rFonts w:hint="default" w:ascii="Times New Roman" w:hAnsi="Times New Roman" w:eastAsia="宋体" w:cs="Times New Roman"/>
                <w:i w:val="0"/>
                <w:color w:val="auto"/>
                <w:kern w:val="0"/>
                <w:sz w:val="24"/>
                <w:szCs w:val="24"/>
                <w:highlight w:val="none"/>
                <w:u w:val="none"/>
                <w:lang w:val="en-US" w:eastAsia="zh-CN" w:bidi="ar"/>
              </w:rPr>
              <w:t>；海东园区近期拟建污水主干管、支管共</w:t>
            </w:r>
            <w:r>
              <w:rPr>
                <w:rFonts w:hint="eastAsia" w:ascii="Times New Roman" w:hAnsi="Times New Roman" w:eastAsia="宋体" w:cs="Times New Roman"/>
                <w:i w:val="0"/>
                <w:color w:val="auto"/>
                <w:kern w:val="0"/>
                <w:sz w:val="24"/>
                <w:szCs w:val="24"/>
                <w:highlight w:val="none"/>
                <w:u w:val="none"/>
                <w:lang w:val="en-US" w:eastAsia="zh-CN" w:bidi="ar"/>
              </w:rPr>
              <w:t>13.44KM</w:t>
            </w:r>
            <w:r>
              <w:rPr>
                <w:rFonts w:hint="default" w:ascii="Times New Roman" w:hAnsi="Times New Roman" w:eastAsia="宋体" w:cs="Times New Roman"/>
                <w:i w:val="0"/>
                <w:color w:val="auto"/>
                <w:kern w:val="0"/>
                <w:sz w:val="24"/>
                <w:szCs w:val="24"/>
                <w:highlight w:val="none"/>
                <w:u w:val="none"/>
                <w:lang w:val="en-US" w:eastAsia="zh-CN" w:bidi="ar"/>
              </w:rPr>
              <w:t>；坡头镇近期拟建污水主干管、支管、水质净化厂尾水排放管共</w:t>
            </w:r>
            <w:r>
              <w:rPr>
                <w:rFonts w:hint="eastAsia" w:ascii="Times New Roman" w:hAnsi="Times New Roman" w:eastAsia="宋体" w:cs="Times New Roman"/>
                <w:i w:val="0"/>
                <w:color w:val="auto"/>
                <w:kern w:val="0"/>
                <w:sz w:val="24"/>
                <w:szCs w:val="24"/>
                <w:highlight w:val="none"/>
                <w:u w:val="none"/>
                <w:lang w:val="en-US" w:eastAsia="zh-CN" w:bidi="ar"/>
              </w:rPr>
              <w:t>14.67KM</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73610.00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73610.00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i w:val="0"/>
                <w:color w:val="auto"/>
                <w:kern w:val="0"/>
                <w:sz w:val="24"/>
                <w:szCs w:val="24"/>
                <w:highlight w:val="none"/>
                <w:u w:val="none"/>
                <w:lang w:val="en-US" w:eastAsia="zh-CN" w:bidi="ar"/>
              </w:rPr>
            </w:pPr>
            <w:r>
              <w:rPr>
                <w:rFonts w:hint="eastAsia" w:eastAsia="宋体" w:cs="Times New Roman"/>
                <w:b/>
                <w:bCs/>
                <w:i w:val="0"/>
                <w:color w:val="auto"/>
                <w:sz w:val="24"/>
                <w:szCs w:val="24"/>
                <w:highlight w:val="none"/>
                <w:u w:val="none"/>
                <w:lang w:val="en-US" w:eastAsia="zh-CN"/>
              </w:rPr>
              <w:t>（九）</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环保工程项目（</w:t>
            </w:r>
            <w:r>
              <w:rPr>
                <w:rFonts w:hint="eastAsia" w:ascii="Times New Roman" w:hAnsi="Times New Roman" w:eastAsia="宋体" w:cs="Times New Roman"/>
                <w:b/>
                <w:bCs/>
                <w:i w:val="0"/>
                <w:color w:val="auto"/>
                <w:kern w:val="0"/>
                <w:sz w:val="24"/>
                <w:szCs w:val="24"/>
                <w:highlight w:val="none"/>
                <w:u w:val="none"/>
                <w:lang w:val="en-US" w:eastAsia="zh-CN" w:bidi="ar"/>
              </w:rPr>
              <w:t>1</w:t>
            </w:r>
            <w:r>
              <w:rPr>
                <w:rFonts w:hint="eastAsia"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湛江市南调河综合整治（碧道）工程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长约</w:t>
            </w:r>
            <w:r>
              <w:rPr>
                <w:rFonts w:hint="eastAsia" w:ascii="Times New Roman" w:hAnsi="Times New Roman" w:eastAsia="宋体" w:cs="Times New Roman"/>
                <w:i w:val="0"/>
                <w:color w:val="auto"/>
                <w:kern w:val="0"/>
                <w:sz w:val="24"/>
                <w:szCs w:val="24"/>
                <w:highlight w:val="none"/>
                <w:u w:val="none"/>
                <w:lang w:val="en-US" w:eastAsia="zh-CN" w:bidi="ar"/>
              </w:rPr>
              <w:t>2.7</w:t>
            </w:r>
            <w:r>
              <w:rPr>
                <w:rFonts w:hint="default" w:ascii="Times New Roman" w:hAnsi="Times New Roman" w:eastAsia="宋体" w:cs="Times New Roman"/>
                <w:i w:val="0"/>
                <w:color w:val="auto"/>
                <w:kern w:val="0"/>
                <w:sz w:val="24"/>
                <w:szCs w:val="24"/>
                <w:highlight w:val="none"/>
                <w:u w:val="none"/>
                <w:lang w:val="en-US" w:eastAsia="zh-CN" w:bidi="ar"/>
              </w:rPr>
              <w:t>公里，包括滨海湿地修复约</w:t>
            </w:r>
            <w:r>
              <w:rPr>
                <w:rFonts w:hint="eastAsia" w:ascii="Times New Roman" w:hAnsi="Times New Roman" w:eastAsia="宋体" w:cs="Times New Roman"/>
                <w:i w:val="0"/>
                <w:color w:val="auto"/>
                <w:kern w:val="0"/>
                <w:sz w:val="24"/>
                <w:szCs w:val="24"/>
                <w:highlight w:val="none"/>
                <w:u w:val="none"/>
                <w:lang w:val="en-US" w:eastAsia="zh-CN" w:bidi="ar"/>
              </w:rPr>
              <w:t>16.5</w:t>
            </w:r>
            <w:r>
              <w:rPr>
                <w:rFonts w:hint="default" w:ascii="Times New Roman" w:hAnsi="Times New Roman" w:eastAsia="宋体" w:cs="Times New Roman"/>
                <w:i w:val="0"/>
                <w:color w:val="auto"/>
                <w:kern w:val="0"/>
                <w:sz w:val="24"/>
                <w:szCs w:val="24"/>
                <w:highlight w:val="none"/>
                <w:u w:val="none"/>
                <w:lang w:val="en-US" w:eastAsia="zh-CN" w:bidi="ar"/>
              </w:rPr>
              <w:t>万平方米及河道疏浚约</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公里；黑臭水体治理，包括现状及新开河道清淤约</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公里及污水干管铺设约</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公里；景观提升建设，包括慢行步道约</w:t>
            </w:r>
            <w:r>
              <w:rPr>
                <w:rFonts w:hint="eastAsia" w:ascii="Times New Roman" w:hAnsi="Times New Roman" w:eastAsia="宋体" w:cs="Times New Roman"/>
                <w:i w:val="0"/>
                <w:color w:val="auto"/>
                <w:kern w:val="0"/>
                <w:sz w:val="24"/>
                <w:szCs w:val="24"/>
                <w:highlight w:val="none"/>
                <w:u w:val="none"/>
                <w:lang w:val="en-US" w:eastAsia="zh-CN" w:bidi="ar"/>
              </w:rPr>
              <w:t>6.5</w:t>
            </w:r>
            <w:r>
              <w:rPr>
                <w:rFonts w:hint="default" w:ascii="Times New Roman" w:hAnsi="Times New Roman" w:eastAsia="宋体" w:cs="Times New Roman"/>
                <w:i w:val="0"/>
                <w:color w:val="auto"/>
                <w:kern w:val="0"/>
                <w:sz w:val="24"/>
                <w:szCs w:val="24"/>
                <w:highlight w:val="none"/>
                <w:u w:val="none"/>
                <w:lang w:val="en-US" w:eastAsia="zh-CN" w:bidi="ar"/>
              </w:rPr>
              <w:t>公里的绿化景观及夜景亮化等内容；建设高标准农田，包括水渠约</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公里及田埂型步道总长约</w:t>
            </w:r>
            <w:r>
              <w:rPr>
                <w:rFonts w:hint="eastAsia" w:ascii="Times New Roman" w:hAnsi="Times New Roman" w:eastAsia="宋体" w:cs="Times New Roman"/>
                <w:i w:val="0"/>
                <w:color w:val="auto"/>
                <w:kern w:val="0"/>
                <w:sz w:val="24"/>
                <w:szCs w:val="24"/>
                <w:highlight w:val="none"/>
                <w:u w:val="none"/>
                <w:lang w:val="en-US" w:eastAsia="zh-CN" w:bidi="ar"/>
              </w:rPr>
              <w:t>2.26</w:t>
            </w:r>
            <w:r>
              <w:rPr>
                <w:rFonts w:hint="default" w:ascii="Times New Roman" w:hAnsi="Times New Roman" w:eastAsia="宋体" w:cs="Times New Roman"/>
                <w:i w:val="0"/>
                <w:color w:val="auto"/>
                <w:kern w:val="0"/>
                <w:sz w:val="24"/>
                <w:szCs w:val="24"/>
                <w:highlight w:val="none"/>
                <w:u w:val="none"/>
                <w:lang w:val="en-US" w:eastAsia="zh-CN" w:bidi="ar"/>
              </w:rPr>
              <w:t>公里。</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52745.24</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21122</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31623.24</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i w:val="0"/>
                <w:color w:val="auto"/>
                <w:kern w:val="0"/>
                <w:sz w:val="24"/>
                <w:szCs w:val="24"/>
                <w:highlight w:val="none"/>
                <w:u w:val="none"/>
                <w:lang w:val="en-US" w:eastAsia="zh-CN" w:bidi="ar"/>
              </w:rPr>
            </w:pPr>
            <w:r>
              <w:rPr>
                <w:rFonts w:hint="eastAsia" w:eastAsia="宋体" w:cs="Times New Roman"/>
                <w:i w:val="0"/>
                <w:color w:val="auto"/>
                <w:kern w:val="0"/>
                <w:sz w:val="24"/>
                <w:szCs w:val="24"/>
                <w:highlight w:val="none"/>
                <w:u w:val="none"/>
                <w:lang w:val="en-US" w:eastAsia="zh-CN" w:bidi="ar"/>
              </w:rPr>
              <w:t>二</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产业工程项目（</w:t>
            </w:r>
            <w:r>
              <w:rPr>
                <w:rFonts w:hint="eastAsia" w:ascii="Times New Roman" w:hAnsi="Times New Roman" w:eastAsia="宋体" w:cs="Times New Roman"/>
                <w:b/>
                <w:bCs/>
                <w:i w:val="0"/>
                <w:color w:val="auto"/>
                <w:kern w:val="0"/>
                <w:sz w:val="24"/>
                <w:szCs w:val="24"/>
                <w:highlight w:val="none"/>
                <w:u w:val="none"/>
                <w:lang w:val="en-US" w:eastAsia="zh-CN" w:bidi="ar"/>
              </w:rPr>
              <w:t>18</w:t>
            </w:r>
            <w:r>
              <w:rPr>
                <w:rFonts w:hint="eastAsia"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广东湛江吉民药业股份有限公司搬迁技术改造项目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利用自身及全产业链的资金，技术，管理和建设方面的优势，投资建设的硬膏剂生产基地和中国贴膏剂研发中心项目，占地约</w:t>
            </w:r>
            <w:r>
              <w:rPr>
                <w:rFonts w:hint="eastAsia" w:ascii="Times New Roman" w:hAnsi="Times New Roman" w:eastAsia="宋体" w:cs="Times New Roman"/>
                <w:i w:val="0"/>
                <w:color w:val="auto"/>
                <w:kern w:val="0"/>
                <w:sz w:val="24"/>
                <w:szCs w:val="24"/>
                <w:highlight w:val="none"/>
                <w:u w:val="none"/>
                <w:lang w:val="en-US" w:eastAsia="zh-CN" w:bidi="ar"/>
              </w:rPr>
              <w:t>60</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年产</w:t>
            </w:r>
            <w:r>
              <w:rPr>
                <w:rFonts w:hint="eastAsia" w:ascii="Times New Roman" w:hAnsi="Times New Roman" w:eastAsia="宋体" w:cs="Times New Roman"/>
                <w:i w:val="0"/>
                <w:color w:val="auto"/>
                <w:kern w:val="0"/>
                <w:sz w:val="24"/>
                <w:szCs w:val="24"/>
                <w:highlight w:val="none"/>
                <w:u w:val="none"/>
                <w:lang w:val="en-US" w:eastAsia="zh-CN" w:bidi="ar"/>
              </w:rPr>
              <w:t>13.65</w:t>
            </w:r>
            <w:r>
              <w:rPr>
                <w:rFonts w:hint="default" w:ascii="Times New Roman" w:hAnsi="Times New Roman" w:eastAsia="宋体" w:cs="Times New Roman"/>
                <w:i w:val="0"/>
                <w:color w:val="auto"/>
                <w:kern w:val="0"/>
                <w:sz w:val="24"/>
                <w:szCs w:val="24"/>
                <w:highlight w:val="none"/>
                <w:u w:val="none"/>
                <w:lang w:val="en-US" w:eastAsia="zh-CN" w:bidi="ar"/>
              </w:rPr>
              <w:t>万吨饮料、罐头建设项目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综合仓库</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座，生产车间</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座，员工候工楼</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座，办公楼</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座，职工食堂</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座，日处理</w:t>
            </w:r>
            <w:r>
              <w:rPr>
                <w:rFonts w:hint="eastAsia" w:ascii="Times New Roman" w:hAnsi="Times New Roman" w:eastAsia="宋体" w:cs="Times New Roman"/>
                <w:i w:val="0"/>
                <w:color w:val="auto"/>
                <w:kern w:val="0"/>
                <w:sz w:val="24"/>
                <w:szCs w:val="24"/>
                <w:highlight w:val="none"/>
                <w:u w:val="none"/>
                <w:lang w:val="en-US" w:eastAsia="zh-CN" w:bidi="ar"/>
              </w:rPr>
              <w:t>5000</w:t>
            </w:r>
            <w:r>
              <w:rPr>
                <w:rFonts w:hint="default" w:ascii="Times New Roman" w:hAnsi="Times New Roman" w:eastAsia="宋体" w:cs="Times New Roman"/>
                <w:i w:val="0"/>
                <w:color w:val="auto"/>
                <w:kern w:val="0"/>
                <w:sz w:val="24"/>
                <w:szCs w:val="24"/>
                <w:highlight w:val="none"/>
                <w:u w:val="none"/>
                <w:lang w:val="en-US" w:eastAsia="zh-CN" w:bidi="ar"/>
              </w:rPr>
              <w:t>吨级污水处理设施，配套罐头生产线；配套饮料生产线。</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25848</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11071</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14777</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湛江卷烟包装材料印刷有限公司智能绿色工厂建设项目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按现代智能化工厂设计建设，含卷烟包装大型研发中心、技术中心、检测中心、成品高架仓库及现代化物流仓库，配套建设有办公楼、国旗广场、员工培训中心、员工文化活动中心、生活区、厂区消防站、废气收集处理设施、固废收集站、废纸房、空调主机房、变压器房、花园式厂区、绿色停车场、给排水等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2027</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135000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79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湛江寸草制药有限公司建设中药制剂研发中心及现代化中药生产企业项目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中药提取车间、丸剂车间、化妆品车间、保健品车间、办公楼、候工楼、给水排水、锅炉等公用设施建设。</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湛江市安佳电子实业有限公司</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湛江市安佳电子实业有限公司占地</w:t>
            </w:r>
            <w:r>
              <w:rPr>
                <w:rFonts w:hint="eastAsia" w:ascii="Times New Roman" w:hAnsi="Times New Roman" w:eastAsia="宋体" w:cs="Times New Roman"/>
                <w:i w:val="0"/>
                <w:color w:val="auto"/>
                <w:kern w:val="0"/>
                <w:sz w:val="24"/>
                <w:szCs w:val="24"/>
                <w:highlight w:val="none"/>
                <w:u w:val="none"/>
                <w:lang w:val="en-US" w:eastAsia="zh-CN" w:bidi="ar"/>
              </w:rPr>
              <w:t>124.56</w:t>
            </w:r>
            <w:r>
              <w:rPr>
                <w:rFonts w:hint="default" w:ascii="Times New Roman" w:hAnsi="Times New Roman" w:eastAsia="宋体" w:cs="Times New Roman"/>
                <w:i w:val="0"/>
                <w:color w:val="auto"/>
                <w:kern w:val="0"/>
                <w:sz w:val="24"/>
                <w:szCs w:val="24"/>
                <w:highlight w:val="none"/>
                <w:u w:val="none"/>
                <w:lang w:val="en-US" w:eastAsia="zh-CN" w:bidi="ar"/>
              </w:rPr>
              <w:t>亩，投资</w:t>
            </w:r>
            <w:r>
              <w:rPr>
                <w:rFonts w:hint="eastAsia" w:ascii="Times New Roman" w:hAnsi="Times New Roman" w:eastAsia="宋体" w:cs="Times New Roman"/>
                <w:i w:val="0"/>
                <w:color w:val="auto"/>
                <w:kern w:val="0"/>
                <w:sz w:val="24"/>
                <w:szCs w:val="24"/>
                <w:highlight w:val="none"/>
                <w:u w:val="none"/>
                <w:lang w:val="en-US" w:eastAsia="zh-CN" w:bidi="ar"/>
              </w:rPr>
              <w:t>2.5</w:t>
            </w:r>
            <w:r>
              <w:rPr>
                <w:rFonts w:hint="default" w:ascii="Times New Roman" w:hAnsi="Times New Roman" w:eastAsia="宋体" w:cs="Times New Roman"/>
                <w:i w:val="0"/>
                <w:color w:val="auto"/>
                <w:kern w:val="0"/>
                <w:sz w:val="24"/>
                <w:szCs w:val="24"/>
                <w:highlight w:val="none"/>
                <w:u w:val="none"/>
                <w:lang w:val="en-US" w:eastAsia="zh-CN" w:bidi="ar"/>
              </w:rPr>
              <w:t>亿元。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华燕电器</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占地</w:t>
            </w:r>
            <w:r>
              <w:rPr>
                <w:rFonts w:hint="eastAsia" w:ascii="Times New Roman" w:hAnsi="Times New Roman" w:eastAsia="宋体" w:cs="Times New Roman"/>
                <w:i w:val="0"/>
                <w:color w:val="auto"/>
                <w:kern w:val="0"/>
                <w:sz w:val="24"/>
                <w:szCs w:val="24"/>
                <w:highlight w:val="none"/>
                <w:u w:val="none"/>
                <w:lang w:val="en-US" w:eastAsia="zh-CN" w:bidi="ar"/>
              </w:rPr>
              <w:t>14</w:t>
            </w:r>
            <w:r>
              <w:rPr>
                <w:rFonts w:hint="default" w:ascii="Times New Roman" w:hAnsi="Times New Roman" w:eastAsia="宋体" w:cs="Times New Roman"/>
                <w:i w:val="0"/>
                <w:color w:val="auto"/>
                <w:kern w:val="0"/>
                <w:sz w:val="24"/>
                <w:szCs w:val="24"/>
                <w:highlight w:val="none"/>
                <w:u w:val="none"/>
                <w:lang w:val="en-US" w:eastAsia="zh-CN" w:bidi="ar"/>
              </w:rPr>
              <w:t>亩，建设厂房、生产线、配套办公生活设施等。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吴川市永盛工贸有限公司</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吴川市永盛工贸有限公司占地</w:t>
            </w:r>
            <w:r>
              <w:rPr>
                <w:rFonts w:hint="eastAsia" w:ascii="Times New Roman" w:hAnsi="Times New Roman" w:eastAsia="宋体" w:cs="Times New Roman"/>
                <w:i w:val="0"/>
                <w:color w:val="auto"/>
                <w:kern w:val="0"/>
                <w:sz w:val="24"/>
                <w:szCs w:val="24"/>
                <w:highlight w:val="none"/>
                <w:u w:val="none"/>
                <w:lang w:val="en-US" w:eastAsia="zh-CN" w:bidi="ar"/>
              </w:rPr>
              <w:t>99.9</w:t>
            </w:r>
            <w:r>
              <w:rPr>
                <w:rFonts w:hint="default" w:ascii="Times New Roman" w:hAnsi="Times New Roman" w:eastAsia="宋体" w:cs="Times New Roman"/>
                <w:i w:val="0"/>
                <w:color w:val="auto"/>
                <w:kern w:val="0"/>
                <w:sz w:val="24"/>
                <w:szCs w:val="24"/>
                <w:highlight w:val="none"/>
                <w:u w:val="none"/>
                <w:lang w:val="en-US" w:eastAsia="zh-CN" w:bidi="ar"/>
              </w:rPr>
              <w:t>亩，预计投资</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亿元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广东金合丰制罐包装生产及材料配套产业基地建设</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项目占地</w:t>
            </w:r>
            <w:r>
              <w:rPr>
                <w:rFonts w:hint="eastAsia" w:ascii="Times New Roman" w:hAnsi="Times New Roman" w:eastAsia="宋体" w:cs="Times New Roman"/>
                <w:i w:val="0"/>
                <w:color w:val="auto"/>
                <w:kern w:val="0"/>
                <w:sz w:val="24"/>
                <w:szCs w:val="24"/>
                <w:highlight w:val="none"/>
                <w:u w:val="none"/>
                <w:lang w:val="en-US" w:eastAsia="zh-CN" w:bidi="ar"/>
              </w:rPr>
              <w:t>37.57</w:t>
            </w:r>
            <w:r>
              <w:rPr>
                <w:rFonts w:hint="default" w:ascii="Times New Roman" w:hAnsi="Times New Roman" w:eastAsia="宋体" w:cs="Times New Roman"/>
                <w:i w:val="0"/>
                <w:color w:val="auto"/>
                <w:kern w:val="0"/>
                <w:sz w:val="24"/>
                <w:szCs w:val="24"/>
                <w:highlight w:val="none"/>
                <w:u w:val="none"/>
                <w:lang w:val="en-US" w:eastAsia="zh-CN" w:bidi="ar"/>
              </w:rPr>
              <w:t>亩，总投资</w:t>
            </w:r>
            <w:r>
              <w:rPr>
                <w:rFonts w:hint="eastAsia" w:ascii="Times New Roman" w:hAnsi="Times New Roman" w:eastAsia="宋体" w:cs="Times New Roman"/>
                <w:i w:val="0"/>
                <w:color w:val="auto"/>
                <w:kern w:val="0"/>
                <w:sz w:val="24"/>
                <w:szCs w:val="24"/>
                <w:highlight w:val="none"/>
                <w:u w:val="none"/>
                <w:lang w:val="en-US" w:eastAsia="zh-CN" w:bidi="ar"/>
              </w:rPr>
              <w:t>7600</w:t>
            </w:r>
            <w:r>
              <w:rPr>
                <w:rFonts w:hint="default" w:ascii="Times New Roman" w:hAnsi="Times New Roman" w:eastAsia="宋体" w:cs="Times New Roman"/>
                <w:i w:val="0"/>
                <w:color w:val="auto"/>
                <w:kern w:val="0"/>
                <w:sz w:val="24"/>
                <w:szCs w:val="24"/>
                <w:highlight w:val="none"/>
                <w:u w:val="none"/>
                <w:lang w:val="en-US" w:eastAsia="zh-CN" w:bidi="ar"/>
              </w:rPr>
              <w:t>万元人民币，预计产值</w:t>
            </w:r>
            <w:r>
              <w:rPr>
                <w:rFonts w:hint="eastAsia" w:ascii="Times New Roman" w:hAnsi="Times New Roman" w:eastAsia="宋体" w:cs="Times New Roman"/>
                <w:i w:val="0"/>
                <w:color w:val="auto"/>
                <w:kern w:val="0"/>
                <w:sz w:val="24"/>
                <w:szCs w:val="24"/>
                <w:highlight w:val="none"/>
                <w:u w:val="none"/>
                <w:lang w:val="en-US" w:eastAsia="zh-CN" w:bidi="ar"/>
              </w:rPr>
              <w:t>8000</w:t>
            </w:r>
            <w:r>
              <w:rPr>
                <w:rFonts w:hint="default" w:ascii="Times New Roman" w:hAnsi="Times New Roman" w:eastAsia="宋体" w:cs="Times New Roman"/>
                <w:i w:val="0"/>
                <w:color w:val="auto"/>
                <w:kern w:val="0"/>
                <w:sz w:val="24"/>
                <w:szCs w:val="24"/>
                <w:highlight w:val="none"/>
                <w:u w:val="none"/>
                <w:lang w:val="en-US" w:eastAsia="zh-CN" w:bidi="ar"/>
              </w:rPr>
              <w:t>万元，主要建设生产车间，科研办公楼，仓储车间，和垃圾站等建筑物共</w:t>
            </w:r>
            <w:r>
              <w:rPr>
                <w:rFonts w:hint="eastAsia" w:ascii="Times New Roman" w:hAnsi="Times New Roman" w:eastAsia="宋体" w:cs="Times New Roman"/>
                <w:i w:val="0"/>
                <w:color w:val="auto"/>
                <w:kern w:val="0"/>
                <w:sz w:val="24"/>
                <w:szCs w:val="24"/>
                <w:highlight w:val="none"/>
                <w:u w:val="none"/>
                <w:lang w:val="en-US" w:eastAsia="zh-CN" w:bidi="ar"/>
              </w:rPr>
              <w:t>30000</w:t>
            </w:r>
            <w:r>
              <w:rPr>
                <w:rFonts w:hint="default" w:ascii="Times New Roman" w:hAnsi="Times New Roman" w:eastAsia="宋体" w:cs="Times New Roman"/>
                <w:i w:val="0"/>
                <w:color w:val="auto"/>
                <w:kern w:val="0"/>
                <w:sz w:val="24"/>
                <w:szCs w:val="24"/>
                <w:highlight w:val="none"/>
                <w:u w:val="none"/>
                <w:lang w:val="en-US" w:eastAsia="zh-CN" w:bidi="ar"/>
              </w:rPr>
              <w:t>平方米，以及道路建设，活动场地，绿化面积等配套设施建设，其中建设的厂房包含铁制品包装，纸制品包装，塑料制品包装三大板块等系列产品</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7600.00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7300.00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年产</w:t>
            </w: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万套电化教育设备建设项目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建设二幢生产厂房，一幢研发办公大楼，一幢职工倒班宿舍。建成后生产能力达到年产</w:t>
            </w: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万套电化教育设备。</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970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4030.00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湛江市盛春粮油有限公司</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湛江市盛春粮油有限公司占地</w:t>
            </w:r>
            <w:r>
              <w:rPr>
                <w:rFonts w:hint="eastAsia" w:ascii="Times New Roman" w:hAnsi="Times New Roman" w:eastAsia="宋体" w:cs="Times New Roman"/>
                <w:i w:val="0"/>
                <w:color w:val="auto"/>
                <w:kern w:val="0"/>
                <w:sz w:val="24"/>
                <w:szCs w:val="24"/>
                <w:highlight w:val="none"/>
                <w:u w:val="none"/>
                <w:lang w:val="en-US" w:eastAsia="zh-CN" w:bidi="ar"/>
              </w:rPr>
              <w:t>6.88</w:t>
            </w:r>
            <w:r>
              <w:rPr>
                <w:rFonts w:hint="default" w:ascii="Times New Roman" w:hAnsi="Times New Roman" w:eastAsia="宋体" w:cs="Times New Roman"/>
                <w:i w:val="0"/>
                <w:color w:val="auto"/>
                <w:kern w:val="0"/>
                <w:sz w:val="24"/>
                <w:szCs w:val="24"/>
                <w:highlight w:val="none"/>
                <w:u w:val="none"/>
                <w:lang w:val="en-US" w:eastAsia="zh-CN" w:bidi="ar"/>
              </w:rPr>
              <w:t>亩，投资</w:t>
            </w:r>
            <w:r>
              <w:rPr>
                <w:rFonts w:hint="eastAsia" w:ascii="Times New Roman" w:hAnsi="Times New Roman" w:eastAsia="宋体" w:cs="Times New Roman"/>
                <w:i w:val="0"/>
                <w:color w:val="auto"/>
                <w:kern w:val="0"/>
                <w:sz w:val="24"/>
                <w:szCs w:val="24"/>
                <w:highlight w:val="none"/>
                <w:u w:val="none"/>
                <w:lang w:val="en-US" w:eastAsia="zh-CN" w:bidi="ar"/>
              </w:rPr>
              <w:t>4000</w:t>
            </w:r>
            <w:r>
              <w:rPr>
                <w:rFonts w:hint="default" w:ascii="Times New Roman" w:hAnsi="Times New Roman" w:eastAsia="宋体" w:cs="Times New Roman"/>
                <w:i w:val="0"/>
                <w:color w:val="auto"/>
                <w:kern w:val="0"/>
                <w:sz w:val="24"/>
                <w:szCs w:val="24"/>
                <w:highlight w:val="none"/>
                <w:u w:val="none"/>
                <w:lang w:val="en-US" w:eastAsia="zh-CN" w:bidi="ar"/>
              </w:rPr>
              <w:t>万元，主要生产花生油。</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3800.00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湛江市原佳彩印包装材料有限公司</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湛江市原佳彩印包装材料有限公司占地</w:t>
            </w:r>
            <w:r>
              <w:rPr>
                <w:rFonts w:hint="eastAsia" w:ascii="Times New Roman" w:hAnsi="Times New Roman" w:eastAsia="宋体" w:cs="Times New Roman"/>
                <w:i w:val="0"/>
                <w:color w:val="auto"/>
                <w:kern w:val="0"/>
                <w:sz w:val="24"/>
                <w:szCs w:val="24"/>
                <w:highlight w:val="none"/>
                <w:u w:val="none"/>
                <w:lang w:val="en-US" w:eastAsia="zh-CN" w:bidi="ar"/>
              </w:rPr>
              <w:t>15</w:t>
            </w:r>
            <w:r>
              <w:rPr>
                <w:rFonts w:hint="default" w:ascii="Times New Roman" w:hAnsi="Times New Roman" w:eastAsia="宋体" w:cs="Times New Roman"/>
                <w:i w:val="0"/>
                <w:color w:val="auto"/>
                <w:kern w:val="0"/>
                <w:sz w:val="24"/>
                <w:szCs w:val="24"/>
                <w:highlight w:val="none"/>
                <w:u w:val="none"/>
                <w:lang w:val="en-US" w:eastAsia="zh-CN" w:bidi="ar"/>
              </w:rPr>
              <w:t>亩，投资</w:t>
            </w:r>
            <w:r>
              <w:rPr>
                <w:rFonts w:hint="eastAsia" w:ascii="Times New Roman" w:hAnsi="Times New Roman" w:eastAsia="宋体" w:cs="Times New Roman"/>
                <w:i w:val="0"/>
                <w:color w:val="auto"/>
                <w:kern w:val="0"/>
                <w:sz w:val="24"/>
                <w:szCs w:val="24"/>
                <w:highlight w:val="none"/>
                <w:u w:val="none"/>
                <w:lang w:val="en-US" w:eastAsia="zh-CN" w:bidi="ar"/>
              </w:rPr>
              <w:t>3000</w:t>
            </w:r>
            <w:r>
              <w:rPr>
                <w:rFonts w:hint="default" w:ascii="Times New Roman" w:hAnsi="Times New Roman" w:eastAsia="宋体" w:cs="Times New Roman"/>
                <w:i w:val="0"/>
                <w:color w:val="auto"/>
                <w:kern w:val="0"/>
                <w:sz w:val="24"/>
                <w:szCs w:val="24"/>
                <w:highlight w:val="none"/>
                <w:u w:val="none"/>
                <w:lang w:val="en-US" w:eastAsia="zh-CN" w:bidi="ar"/>
              </w:rPr>
              <w:t>万元。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2800.00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湛江家用电器工迁建项目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广东省湛江家用电器工业有限公司主要生产家用电器，项目分多期建设，预计总投资</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亿元。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广东智造铝模科技有限公司建筑用铝模加工厂</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项目总用地面积</w:t>
            </w:r>
            <w:r>
              <w:rPr>
                <w:rFonts w:hint="eastAsia" w:ascii="Times New Roman" w:hAnsi="Times New Roman" w:eastAsia="宋体" w:cs="Times New Roman"/>
                <w:i w:val="0"/>
                <w:color w:val="auto"/>
                <w:kern w:val="0"/>
                <w:sz w:val="24"/>
                <w:szCs w:val="24"/>
                <w:highlight w:val="none"/>
                <w:u w:val="none"/>
                <w:lang w:val="en-US" w:eastAsia="zh-CN" w:bidi="ar"/>
              </w:rPr>
              <w:t>35458.5</w:t>
            </w:r>
            <w:r>
              <w:rPr>
                <w:rFonts w:hint="default" w:ascii="Times New Roman" w:hAnsi="Times New Roman" w:eastAsia="宋体" w:cs="Times New Roman"/>
                <w:i w:val="0"/>
                <w:color w:val="auto"/>
                <w:kern w:val="0"/>
                <w:sz w:val="24"/>
                <w:szCs w:val="24"/>
                <w:highlight w:val="none"/>
                <w:u w:val="none"/>
                <w:lang w:val="en-US" w:eastAsia="zh-CN" w:bidi="ar"/>
              </w:rPr>
              <w:t>平方米，总建筑面积</w:t>
            </w:r>
            <w:r>
              <w:rPr>
                <w:rFonts w:hint="eastAsia" w:ascii="Times New Roman" w:hAnsi="Times New Roman" w:eastAsia="宋体" w:cs="Times New Roman"/>
                <w:i w:val="0"/>
                <w:color w:val="auto"/>
                <w:kern w:val="0"/>
                <w:sz w:val="24"/>
                <w:szCs w:val="24"/>
                <w:highlight w:val="none"/>
                <w:u w:val="none"/>
                <w:lang w:val="en-US" w:eastAsia="zh-CN" w:bidi="ar"/>
              </w:rPr>
              <w:t>27370.56</w:t>
            </w:r>
            <w:r>
              <w:rPr>
                <w:rFonts w:hint="default" w:ascii="Times New Roman" w:hAnsi="Times New Roman" w:eastAsia="宋体" w:cs="Times New Roman"/>
                <w:i w:val="0"/>
                <w:color w:val="auto"/>
                <w:kern w:val="0"/>
                <w:sz w:val="24"/>
                <w:szCs w:val="24"/>
                <w:highlight w:val="none"/>
                <w:u w:val="none"/>
                <w:lang w:val="en-US" w:eastAsia="zh-CN" w:bidi="ar"/>
              </w:rPr>
              <w:t>平方米，其中，总计容面积</w:t>
            </w:r>
            <w:r>
              <w:rPr>
                <w:rFonts w:hint="eastAsia" w:ascii="Times New Roman" w:hAnsi="Times New Roman" w:eastAsia="宋体" w:cs="Times New Roman"/>
                <w:i w:val="0"/>
                <w:color w:val="auto"/>
                <w:kern w:val="0"/>
                <w:sz w:val="24"/>
                <w:szCs w:val="24"/>
                <w:highlight w:val="none"/>
                <w:u w:val="none"/>
                <w:lang w:val="en-US" w:eastAsia="zh-CN" w:bidi="ar"/>
              </w:rPr>
              <w:t>27370.56</w:t>
            </w:r>
            <w:r>
              <w:rPr>
                <w:rFonts w:hint="default" w:ascii="Times New Roman" w:hAnsi="Times New Roman" w:eastAsia="宋体" w:cs="Times New Roman"/>
                <w:i w:val="0"/>
                <w:color w:val="auto"/>
                <w:kern w:val="0"/>
                <w:sz w:val="24"/>
                <w:szCs w:val="24"/>
                <w:highlight w:val="none"/>
                <w:u w:val="none"/>
                <w:lang w:val="en-US" w:eastAsia="zh-CN" w:bidi="ar"/>
              </w:rPr>
              <w:t>平方米、厂房</w:t>
            </w:r>
            <w:r>
              <w:rPr>
                <w:rFonts w:hint="eastAsia" w:ascii="Times New Roman" w:hAnsi="Times New Roman" w:eastAsia="宋体" w:cs="Times New Roman"/>
                <w:i w:val="0"/>
                <w:color w:val="auto"/>
                <w:kern w:val="0"/>
                <w:sz w:val="24"/>
                <w:szCs w:val="24"/>
                <w:highlight w:val="none"/>
                <w:u w:val="none"/>
                <w:lang w:val="en-US" w:eastAsia="zh-CN" w:bidi="ar"/>
              </w:rPr>
              <w:t>23635.84</w:t>
            </w:r>
            <w:r>
              <w:rPr>
                <w:rFonts w:hint="default" w:ascii="Times New Roman" w:hAnsi="Times New Roman" w:eastAsia="宋体" w:cs="Times New Roman"/>
                <w:i w:val="0"/>
                <w:color w:val="auto"/>
                <w:kern w:val="0"/>
                <w:sz w:val="24"/>
                <w:szCs w:val="24"/>
                <w:highlight w:val="none"/>
                <w:u w:val="none"/>
                <w:lang w:val="en-US" w:eastAsia="zh-CN" w:bidi="ar"/>
              </w:rPr>
              <w:t>平方米、办公楼</w:t>
            </w:r>
            <w:r>
              <w:rPr>
                <w:rFonts w:hint="eastAsia" w:ascii="Times New Roman" w:hAnsi="Times New Roman" w:eastAsia="宋体" w:cs="Times New Roman"/>
                <w:i w:val="0"/>
                <w:color w:val="auto"/>
                <w:kern w:val="0"/>
                <w:sz w:val="24"/>
                <w:szCs w:val="24"/>
                <w:highlight w:val="none"/>
                <w:u w:val="none"/>
                <w:lang w:val="en-US" w:eastAsia="zh-CN" w:bidi="ar"/>
              </w:rPr>
              <w:t>2288.72</w:t>
            </w:r>
            <w:r>
              <w:rPr>
                <w:rFonts w:hint="default" w:ascii="Times New Roman" w:hAnsi="Times New Roman" w:eastAsia="宋体" w:cs="Times New Roman"/>
                <w:i w:val="0"/>
                <w:color w:val="auto"/>
                <w:kern w:val="0"/>
                <w:sz w:val="24"/>
                <w:szCs w:val="24"/>
                <w:highlight w:val="none"/>
                <w:u w:val="none"/>
                <w:lang w:val="en-US" w:eastAsia="zh-CN" w:bidi="ar"/>
              </w:rPr>
              <w:t>平方米、侯工楼</w:t>
            </w:r>
            <w:r>
              <w:rPr>
                <w:rFonts w:hint="eastAsia" w:ascii="Times New Roman" w:hAnsi="Times New Roman" w:eastAsia="宋体" w:cs="Times New Roman"/>
                <w:i w:val="0"/>
                <w:color w:val="auto"/>
                <w:kern w:val="0"/>
                <w:sz w:val="24"/>
                <w:szCs w:val="24"/>
                <w:highlight w:val="none"/>
                <w:u w:val="none"/>
                <w:lang w:val="en-US" w:eastAsia="zh-CN" w:bidi="ar"/>
              </w:rPr>
              <w:t>1446</w:t>
            </w:r>
            <w:r>
              <w:rPr>
                <w:rFonts w:hint="default" w:ascii="Times New Roman" w:hAnsi="Times New Roman" w:eastAsia="宋体" w:cs="Times New Roman"/>
                <w:i w:val="0"/>
                <w:color w:val="auto"/>
                <w:kern w:val="0"/>
                <w:sz w:val="24"/>
                <w:szCs w:val="24"/>
                <w:highlight w:val="none"/>
                <w:u w:val="none"/>
                <w:lang w:val="en-US" w:eastAsia="zh-CN" w:bidi="ar"/>
              </w:rPr>
              <w:t>平方米，公司按客户工程图纸进行</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的系统铝模板配模设计、制作和生产绿色低碳的建筑用铝模研，年产量达</w:t>
            </w:r>
            <w:r>
              <w:rPr>
                <w:rFonts w:hint="eastAsia" w:ascii="Times New Roman" w:hAnsi="Times New Roman" w:eastAsia="宋体" w:cs="Times New Roman"/>
                <w:i w:val="0"/>
                <w:color w:val="auto"/>
                <w:kern w:val="0"/>
                <w:sz w:val="24"/>
                <w:szCs w:val="24"/>
                <w:highlight w:val="none"/>
                <w:u w:val="none"/>
                <w:lang w:val="en-US" w:eastAsia="zh-CN" w:bidi="ar"/>
              </w:rPr>
              <w:t>20</w:t>
            </w:r>
            <w:r>
              <w:rPr>
                <w:rFonts w:hint="default" w:ascii="Times New Roman" w:hAnsi="Times New Roman" w:eastAsia="宋体" w:cs="Times New Roman"/>
                <w:i w:val="0"/>
                <w:color w:val="auto"/>
                <w:kern w:val="0"/>
                <w:sz w:val="24"/>
                <w:szCs w:val="24"/>
                <w:highlight w:val="none"/>
                <w:u w:val="none"/>
                <w:lang w:val="en-US" w:eastAsia="zh-CN" w:bidi="ar"/>
              </w:rPr>
              <w:t>万平方米。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10500.00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89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龙头纸业有限公司年产</w:t>
            </w:r>
            <w:r>
              <w:rPr>
                <w:rFonts w:hint="eastAsia" w:ascii="Times New Roman" w:hAnsi="Times New Roman" w:eastAsia="宋体" w:cs="Times New Roman"/>
                <w:i w:val="0"/>
                <w:color w:val="auto"/>
                <w:kern w:val="0"/>
                <w:sz w:val="24"/>
                <w:szCs w:val="24"/>
                <w:highlight w:val="none"/>
                <w:u w:val="none"/>
                <w:lang w:val="en-US" w:eastAsia="zh-CN" w:bidi="ar"/>
              </w:rPr>
              <w:t>3200</w:t>
            </w:r>
            <w:r>
              <w:rPr>
                <w:rFonts w:hint="default" w:ascii="Times New Roman" w:hAnsi="Times New Roman" w:eastAsia="宋体" w:cs="Times New Roman"/>
                <w:i w:val="0"/>
                <w:color w:val="auto"/>
                <w:kern w:val="0"/>
                <w:sz w:val="24"/>
                <w:szCs w:val="24"/>
                <w:highlight w:val="none"/>
                <w:u w:val="none"/>
                <w:lang w:val="en-US" w:eastAsia="zh-CN" w:bidi="ar"/>
              </w:rPr>
              <w:t>万平方米纸箱制品新建项目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引进七层</w:t>
            </w:r>
            <w:r>
              <w:rPr>
                <w:rFonts w:hint="eastAsia" w:ascii="Times New Roman" w:hAnsi="Times New Roman" w:eastAsia="宋体" w:cs="Times New Roman"/>
                <w:i w:val="0"/>
                <w:color w:val="auto"/>
                <w:kern w:val="0"/>
                <w:sz w:val="24"/>
                <w:szCs w:val="24"/>
                <w:highlight w:val="none"/>
                <w:u w:val="none"/>
                <w:lang w:val="en-US" w:eastAsia="zh-CN" w:bidi="ar"/>
              </w:rPr>
              <w:t>2.5</w:t>
            </w:r>
            <w:r>
              <w:rPr>
                <w:rFonts w:hint="default" w:ascii="Times New Roman" w:hAnsi="Times New Roman" w:eastAsia="宋体" w:cs="Times New Roman"/>
                <w:i w:val="0"/>
                <w:color w:val="auto"/>
                <w:kern w:val="0"/>
                <w:sz w:val="24"/>
                <w:szCs w:val="24"/>
                <w:highlight w:val="none"/>
                <w:u w:val="none"/>
                <w:lang w:val="en-US" w:eastAsia="zh-CN" w:bidi="ar"/>
              </w:rPr>
              <w:t>米高速纸板线一条，五色高清印刷机一台，三色印刷机三台，自动钉箱机五台，全自动打包机五台，全自动啤机三台等；新建生产车间三层，每层建筑面积</w:t>
            </w:r>
            <w:r>
              <w:rPr>
                <w:rFonts w:hint="eastAsia" w:ascii="Times New Roman" w:hAnsi="Times New Roman" w:eastAsia="宋体" w:cs="Times New Roman"/>
                <w:i w:val="0"/>
                <w:color w:val="auto"/>
                <w:kern w:val="0"/>
                <w:sz w:val="24"/>
                <w:szCs w:val="24"/>
                <w:highlight w:val="none"/>
                <w:u w:val="none"/>
                <w:lang w:val="en-US" w:eastAsia="zh-CN" w:bidi="ar"/>
              </w:rPr>
              <w:t>6200</w:t>
            </w:r>
            <w:r>
              <w:rPr>
                <w:rFonts w:hint="default" w:ascii="Times New Roman" w:hAnsi="Times New Roman" w:eastAsia="宋体" w:cs="Times New Roman"/>
                <w:i w:val="0"/>
                <w:color w:val="auto"/>
                <w:kern w:val="0"/>
                <w:sz w:val="24"/>
                <w:szCs w:val="24"/>
                <w:highlight w:val="none"/>
                <w:u w:val="none"/>
                <w:lang w:val="en-US" w:eastAsia="zh-CN" w:bidi="ar"/>
              </w:rPr>
              <w:t>平方米，配套一栋</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层办公楼总面积</w:t>
            </w:r>
            <w:r>
              <w:rPr>
                <w:rFonts w:hint="eastAsia" w:ascii="Times New Roman" w:hAnsi="Times New Roman" w:eastAsia="宋体" w:cs="Times New Roman"/>
                <w:i w:val="0"/>
                <w:color w:val="auto"/>
                <w:kern w:val="0"/>
                <w:sz w:val="24"/>
                <w:szCs w:val="24"/>
                <w:highlight w:val="none"/>
                <w:u w:val="none"/>
                <w:lang w:val="en-US" w:eastAsia="zh-CN" w:bidi="ar"/>
              </w:rPr>
              <w:t>1000</w:t>
            </w:r>
            <w:r>
              <w:rPr>
                <w:rFonts w:hint="default" w:ascii="Times New Roman" w:hAnsi="Times New Roman" w:eastAsia="宋体" w:cs="Times New Roman"/>
                <w:i w:val="0"/>
                <w:color w:val="auto"/>
                <w:kern w:val="0"/>
                <w:sz w:val="24"/>
                <w:szCs w:val="24"/>
                <w:highlight w:val="none"/>
                <w:u w:val="none"/>
                <w:lang w:val="en-US" w:eastAsia="zh-CN" w:bidi="ar"/>
              </w:rPr>
              <w:t>平方米、一栋宿舍楼</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层总面积</w:t>
            </w:r>
            <w:r>
              <w:rPr>
                <w:rFonts w:hint="eastAsia" w:ascii="Times New Roman" w:hAnsi="Times New Roman" w:eastAsia="宋体" w:cs="Times New Roman"/>
                <w:i w:val="0"/>
                <w:color w:val="auto"/>
                <w:kern w:val="0"/>
                <w:sz w:val="24"/>
                <w:szCs w:val="24"/>
                <w:highlight w:val="none"/>
                <w:u w:val="none"/>
                <w:lang w:val="en-US" w:eastAsia="zh-CN" w:bidi="ar"/>
              </w:rPr>
              <w:t>1000</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湛江市凤韵食品有限公司食品加工厂</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经营主营业务为食品加工，共有</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条生产线。拟建生产车间二层，建筑面积为</w:t>
            </w:r>
            <w:r>
              <w:rPr>
                <w:rFonts w:hint="eastAsia" w:ascii="Times New Roman" w:hAnsi="Times New Roman" w:eastAsia="宋体" w:cs="Times New Roman"/>
                <w:i w:val="0"/>
                <w:color w:val="auto"/>
                <w:kern w:val="0"/>
                <w:sz w:val="24"/>
                <w:szCs w:val="24"/>
                <w:highlight w:val="none"/>
                <w:u w:val="none"/>
                <w:lang w:val="en-US" w:eastAsia="zh-CN" w:bidi="ar"/>
              </w:rPr>
              <w:t>2869.60</w:t>
            </w:r>
            <w:r>
              <w:rPr>
                <w:rFonts w:hint="default" w:ascii="Times New Roman" w:hAnsi="Times New Roman" w:eastAsia="宋体" w:cs="Times New Roman"/>
                <w:i w:val="0"/>
                <w:color w:val="auto"/>
                <w:kern w:val="0"/>
                <w:sz w:val="24"/>
                <w:szCs w:val="24"/>
                <w:highlight w:val="none"/>
                <w:u w:val="none"/>
                <w:lang w:val="en-US" w:eastAsia="zh-CN" w:bidi="ar"/>
              </w:rPr>
              <w:t>㎡；拟建仓储二层建筑面积为</w:t>
            </w:r>
            <w:r>
              <w:rPr>
                <w:rFonts w:hint="eastAsia" w:ascii="Times New Roman" w:hAnsi="Times New Roman" w:eastAsia="宋体" w:cs="Times New Roman"/>
                <w:i w:val="0"/>
                <w:color w:val="auto"/>
                <w:kern w:val="0"/>
                <w:sz w:val="24"/>
                <w:szCs w:val="24"/>
                <w:highlight w:val="none"/>
                <w:u w:val="none"/>
                <w:lang w:val="en-US" w:eastAsia="zh-CN" w:bidi="ar"/>
              </w:rPr>
              <w:t>2004.92</w:t>
            </w:r>
            <w:r>
              <w:rPr>
                <w:rFonts w:hint="default" w:ascii="Times New Roman" w:hAnsi="Times New Roman" w:eastAsia="宋体" w:cs="Times New Roman"/>
                <w:i w:val="0"/>
                <w:color w:val="auto"/>
                <w:kern w:val="0"/>
                <w:sz w:val="24"/>
                <w:szCs w:val="24"/>
                <w:highlight w:val="none"/>
                <w:u w:val="none"/>
                <w:lang w:val="en-US" w:eastAsia="zh-CN" w:bidi="ar"/>
              </w:rPr>
              <w:t>㎡；预留生产车间一层建筑面积为</w:t>
            </w:r>
            <w:r>
              <w:rPr>
                <w:rFonts w:hint="eastAsia" w:ascii="Times New Roman" w:hAnsi="Times New Roman" w:eastAsia="宋体" w:cs="Times New Roman"/>
                <w:i w:val="0"/>
                <w:color w:val="auto"/>
                <w:kern w:val="0"/>
                <w:sz w:val="24"/>
                <w:szCs w:val="24"/>
                <w:highlight w:val="none"/>
                <w:u w:val="none"/>
                <w:lang w:val="en-US" w:eastAsia="zh-CN" w:bidi="ar"/>
              </w:rPr>
              <w:t>1048</w:t>
            </w:r>
            <w:r>
              <w:rPr>
                <w:rFonts w:hint="default" w:ascii="Times New Roman" w:hAnsi="Times New Roman" w:eastAsia="宋体" w:cs="Times New Roman"/>
                <w:i w:val="0"/>
                <w:color w:val="auto"/>
                <w:kern w:val="0"/>
                <w:sz w:val="24"/>
                <w:szCs w:val="24"/>
                <w:highlight w:val="none"/>
                <w:u w:val="none"/>
                <w:lang w:val="en-US" w:eastAsia="zh-CN" w:bidi="ar"/>
              </w:rPr>
              <w:t>㎡；配套建筑面积为</w:t>
            </w:r>
            <w:r>
              <w:rPr>
                <w:rFonts w:hint="eastAsia" w:ascii="Times New Roman" w:hAnsi="Times New Roman" w:eastAsia="宋体" w:cs="Times New Roman"/>
                <w:i w:val="0"/>
                <w:color w:val="auto"/>
                <w:kern w:val="0"/>
                <w:sz w:val="24"/>
                <w:szCs w:val="24"/>
                <w:highlight w:val="none"/>
                <w:u w:val="none"/>
                <w:lang w:val="en-US" w:eastAsia="zh-CN" w:bidi="ar"/>
              </w:rPr>
              <w:t>212.77</w:t>
            </w:r>
            <w:r>
              <w:rPr>
                <w:rFonts w:hint="default" w:ascii="Times New Roman" w:hAnsi="Times New Roman" w:eastAsia="宋体" w:cs="Times New Roman"/>
                <w:i w:val="0"/>
                <w:color w:val="auto"/>
                <w:kern w:val="0"/>
                <w:sz w:val="24"/>
                <w:szCs w:val="24"/>
                <w:highlight w:val="none"/>
                <w:u w:val="none"/>
                <w:lang w:val="en-US" w:eastAsia="zh-CN" w:bidi="ar"/>
              </w:rPr>
              <w:t>㎡。项目总用地面积</w:t>
            </w:r>
            <w:r>
              <w:rPr>
                <w:rFonts w:hint="eastAsia" w:ascii="Times New Roman" w:hAnsi="Times New Roman" w:eastAsia="宋体" w:cs="Times New Roman"/>
                <w:i w:val="0"/>
                <w:color w:val="auto"/>
                <w:kern w:val="0"/>
                <w:sz w:val="24"/>
                <w:szCs w:val="24"/>
                <w:highlight w:val="none"/>
                <w:u w:val="none"/>
                <w:lang w:val="en-US" w:eastAsia="zh-CN" w:bidi="ar"/>
              </w:rPr>
              <w:t>9994.09</w:t>
            </w:r>
            <w:r>
              <w:rPr>
                <w:rFonts w:hint="default" w:ascii="Times New Roman" w:hAnsi="Times New Roman" w:eastAsia="宋体" w:cs="Times New Roman"/>
                <w:i w:val="0"/>
                <w:color w:val="auto"/>
                <w:kern w:val="0"/>
                <w:sz w:val="24"/>
                <w:szCs w:val="24"/>
                <w:highlight w:val="none"/>
                <w:u w:val="none"/>
                <w:lang w:val="en-US" w:eastAsia="zh-CN" w:bidi="ar"/>
              </w:rPr>
              <w:t>㎡其中二类工业用地</w:t>
            </w:r>
            <w:r>
              <w:rPr>
                <w:rFonts w:hint="eastAsia" w:ascii="Times New Roman" w:hAnsi="Times New Roman" w:eastAsia="宋体" w:cs="Times New Roman"/>
                <w:i w:val="0"/>
                <w:color w:val="auto"/>
                <w:kern w:val="0"/>
                <w:sz w:val="24"/>
                <w:szCs w:val="24"/>
                <w:highlight w:val="none"/>
                <w:u w:val="none"/>
                <w:lang w:val="en-US" w:eastAsia="zh-CN" w:bidi="ar"/>
              </w:rPr>
              <w:t>9345.74</w:t>
            </w:r>
            <w:r>
              <w:rPr>
                <w:rFonts w:hint="default" w:ascii="Times New Roman" w:hAnsi="Times New Roman" w:eastAsia="宋体" w:cs="Times New Roman"/>
                <w:i w:val="0"/>
                <w:color w:val="auto"/>
                <w:kern w:val="0"/>
                <w:sz w:val="24"/>
                <w:szCs w:val="24"/>
                <w:highlight w:val="none"/>
                <w:u w:val="none"/>
                <w:lang w:val="en-US" w:eastAsia="zh-CN" w:bidi="ar"/>
              </w:rPr>
              <w:t>㎡，道路用地</w:t>
            </w:r>
            <w:r>
              <w:rPr>
                <w:rFonts w:hint="eastAsia" w:ascii="Times New Roman" w:hAnsi="Times New Roman" w:eastAsia="宋体" w:cs="Times New Roman"/>
                <w:i w:val="0"/>
                <w:color w:val="auto"/>
                <w:kern w:val="0"/>
                <w:sz w:val="24"/>
                <w:szCs w:val="24"/>
                <w:highlight w:val="none"/>
                <w:u w:val="none"/>
                <w:lang w:val="en-US" w:eastAsia="zh-CN" w:bidi="ar"/>
              </w:rPr>
              <w:t>648.35</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1900.00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坡头区科技产业园龙头园区鸿天高标准厂房</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第一期建高标准厂房</w:t>
            </w:r>
            <w:r>
              <w:rPr>
                <w:rFonts w:hint="eastAsia" w:ascii="Times New Roman" w:hAnsi="Times New Roman" w:eastAsia="宋体" w:cs="Times New Roman"/>
                <w:i w:val="0"/>
                <w:color w:val="auto"/>
                <w:kern w:val="0"/>
                <w:sz w:val="24"/>
                <w:szCs w:val="24"/>
                <w:highlight w:val="none"/>
                <w:u w:val="none"/>
                <w:lang w:val="en-US" w:eastAsia="zh-CN" w:bidi="ar"/>
              </w:rPr>
              <w:t>7</w:t>
            </w:r>
            <w:r>
              <w:rPr>
                <w:rFonts w:hint="default" w:ascii="Times New Roman" w:hAnsi="Times New Roman" w:eastAsia="宋体" w:cs="Times New Roman"/>
                <w:i w:val="0"/>
                <w:color w:val="auto"/>
                <w:kern w:val="0"/>
                <w:sz w:val="24"/>
                <w:szCs w:val="24"/>
                <w:highlight w:val="none"/>
                <w:u w:val="none"/>
                <w:lang w:val="en-US" w:eastAsia="zh-CN" w:bidi="ar"/>
              </w:rPr>
              <w:t>幢，面积</w:t>
            </w:r>
            <w:r>
              <w:rPr>
                <w:rFonts w:hint="eastAsia" w:ascii="Times New Roman" w:hAnsi="Times New Roman" w:eastAsia="宋体" w:cs="Times New Roman"/>
                <w:i w:val="0"/>
                <w:color w:val="auto"/>
                <w:kern w:val="0"/>
                <w:sz w:val="24"/>
                <w:szCs w:val="24"/>
                <w:highlight w:val="none"/>
                <w:u w:val="none"/>
                <w:lang w:val="en-US" w:eastAsia="zh-CN" w:bidi="ar"/>
              </w:rPr>
              <w:t>47712</w:t>
            </w:r>
            <w:r>
              <w:rPr>
                <w:rFonts w:hint="default" w:ascii="Times New Roman" w:hAnsi="Times New Roman" w:eastAsia="宋体" w:cs="Times New Roman"/>
                <w:i w:val="0"/>
                <w:color w:val="auto"/>
                <w:kern w:val="0"/>
                <w:sz w:val="24"/>
                <w:szCs w:val="24"/>
                <w:highlight w:val="none"/>
                <w:u w:val="none"/>
                <w:lang w:val="en-US" w:eastAsia="zh-CN" w:bidi="ar"/>
              </w:rPr>
              <w:t>平方米，混凝土框架结构；倒班宿舍</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幢，面积</w:t>
            </w:r>
            <w:r>
              <w:rPr>
                <w:rFonts w:hint="eastAsia" w:ascii="Times New Roman" w:hAnsi="Times New Roman" w:eastAsia="宋体" w:cs="Times New Roman"/>
                <w:i w:val="0"/>
                <w:color w:val="auto"/>
                <w:kern w:val="0"/>
                <w:sz w:val="24"/>
                <w:szCs w:val="24"/>
                <w:highlight w:val="none"/>
                <w:u w:val="none"/>
                <w:lang w:val="en-US" w:eastAsia="zh-CN" w:bidi="ar"/>
              </w:rPr>
              <w:t>14320.5</w:t>
            </w:r>
            <w:r>
              <w:rPr>
                <w:rFonts w:hint="default" w:ascii="Times New Roman" w:hAnsi="Times New Roman" w:eastAsia="宋体" w:cs="Times New Roman"/>
                <w:i w:val="0"/>
                <w:color w:val="auto"/>
                <w:kern w:val="0"/>
                <w:sz w:val="24"/>
                <w:szCs w:val="24"/>
                <w:highlight w:val="none"/>
                <w:u w:val="none"/>
                <w:lang w:val="en-US" w:eastAsia="zh-CN" w:bidi="ar"/>
              </w:rPr>
              <w:t>平方米，混凝土框架结构；第二期建</w:t>
            </w:r>
            <w:r>
              <w:rPr>
                <w:rFonts w:hint="eastAsia" w:ascii="Times New Roman" w:hAnsi="Times New Roman" w:eastAsia="宋体" w:cs="Times New Roman"/>
                <w:i w:val="0"/>
                <w:color w:val="auto"/>
                <w:kern w:val="0"/>
                <w:sz w:val="24"/>
                <w:szCs w:val="24"/>
                <w:highlight w:val="none"/>
                <w:u w:val="none"/>
                <w:lang w:val="en-US" w:eastAsia="zh-CN" w:bidi="ar"/>
              </w:rPr>
              <w:t>7</w:t>
            </w:r>
            <w:r>
              <w:rPr>
                <w:rFonts w:hint="default" w:ascii="Times New Roman" w:hAnsi="Times New Roman" w:eastAsia="宋体" w:cs="Times New Roman"/>
                <w:i w:val="0"/>
                <w:color w:val="auto"/>
                <w:kern w:val="0"/>
                <w:sz w:val="24"/>
                <w:szCs w:val="24"/>
                <w:highlight w:val="none"/>
                <w:u w:val="none"/>
                <w:lang w:val="en-US" w:eastAsia="zh-CN" w:bidi="ar"/>
              </w:rPr>
              <w:t>幢高标准厂房，面积</w:t>
            </w:r>
            <w:r>
              <w:rPr>
                <w:rFonts w:hint="eastAsia" w:ascii="Times New Roman" w:hAnsi="Times New Roman" w:eastAsia="宋体" w:cs="Times New Roman"/>
                <w:i w:val="0"/>
                <w:color w:val="auto"/>
                <w:kern w:val="0"/>
                <w:sz w:val="24"/>
                <w:szCs w:val="24"/>
                <w:highlight w:val="none"/>
                <w:u w:val="none"/>
                <w:lang w:val="en-US" w:eastAsia="zh-CN" w:bidi="ar"/>
              </w:rPr>
              <w:t>47104</w:t>
            </w:r>
            <w:r>
              <w:rPr>
                <w:rFonts w:hint="default" w:ascii="Times New Roman" w:hAnsi="Times New Roman" w:eastAsia="宋体" w:cs="Times New Roman"/>
                <w:i w:val="0"/>
                <w:color w:val="auto"/>
                <w:kern w:val="0"/>
                <w:sz w:val="24"/>
                <w:szCs w:val="24"/>
                <w:highlight w:val="none"/>
                <w:u w:val="none"/>
                <w:lang w:val="en-US" w:eastAsia="zh-CN" w:bidi="ar"/>
              </w:rPr>
              <w:t>平方米，混凝土框架结构，其中一层供天安消防科技防火门窗项目使用，该项目投资生产窗设备</w:t>
            </w:r>
            <w:r>
              <w:rPr>
                <w:rFonts w:hint="eastAsia" w:ascii="Times New Roman" w:hAnsi="Times New Roman" w:eastAsia="宋体" w:cs="Times New Roman"/>
                <w:i w:val="0"/>
                <w:color w:val="auto"/>
                <w:kern w:val="0"/>
                <w:sz w:val="24"/>
                <w:szCs w:val="24"/>
                <w:highlight w:val="none"/>
                <w:u w:val="none"/>
                <w:lang w:val="en-US" w:eastAsia="zh-CN" w:bidi="ar"/>
              </w:rPr>
              <w:t>500</w:t>
            </w:r>
            <w:r>
              <w:rPr>
                <w:rFonts w:hint="default" w:ascii="Times New Roman" w:hAnsi="Times New Roman" w:eastAsia="宋体" w:cs="Times New Roman"/>
                <w:i w:val="0"/>
                <w:color w:val="auto"/>
                <w:kern w:val="0"/>
                <w:sz w:val="24"/>
                <w:szCs w:val="24"/>
                <w:highlight w:val="none"/>
                <w:u w:val="none"/>
                <w:lang w:val="en-US" w:eastAsia="zh-CN" w:bidi="ar"/>
              </w:rPr>
              <w:t>万元，投资生产门设备</w:t>
            </w:r>
            <w:r>
              <w:rPr>
                <w:rFonts w:hint="eastAsia" w:ascii="Times New Roman" w:hAnsi="Times New Roman" w:eastAsia="宋体" w:cs="Times New Roman"/>
                <w:i w:val="0"/>
                <w:color w:val="auto"/>
                <w:kern w:val="0"/>
                <w:sz w:val="24"/>
                <w:szCs w:val="24"/>
                <w:highlight w:val="none"/>
                <w:u w:val="none"/>
                <w:lang w:val="en-US" w:eastAsia="zh-CN" w:bidi="ar"/>
              </w:rPr>
              <w:t>800</w:t>
            </w:r>
            <w:r>
              <w:rPr>
                <w:rFonts w:hint="default" w:ascii="Times New Roman" w:hAnsi="Times New Roman" w:eastAsia="宋体" w:cs="Times New Roman"/>
                <w:i w:val="0"/>
                <w:color w:val="auto"/>
                <w:kern w:val="0"/>
                <w:sz w:val="24"/>
                <w:szCs w:val="24"/>
                <w:highlight w:val="none"/>
                <w:u w:val="none"/>
                <w:lang w:val="en-US" w:eastAsia="zh-CN" w:bidi="ar"/>
              </w:rPr>
              <w:t>万元；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16000.00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1570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14430.00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医疗器械工程技术研究中心及产业基地建设</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总用地面积</w:t>
            </w:r>
            <w:r>
              <w:rPr>
                <w:rFonts w:hint="eastAsia" w:ascii="Times New Roman" w:hAnsi="Times New Roman" w:eastAsia="宋体" w:cs="Times New Roman"/>
                <w:i w:val="0"/>
                <w:color w:val="auto"/>
                <w:kern w:val="0"/>
                <w:sz w:val="24"/>
                <w:szCs w:val="24"/>
                <w:highlight w:val="none"/>
                <w:u w:val="none"/>
                <w:lang w:val="en-US" w:eastAsia="zh-CN" w:bidi="ar"/>
              </w:rPr>
              <w:t>28563.72</w:t>
            </w:r>
            <w:r>
              <w:rPr>
                <w:rFonts w:hint="default" w:ascii="Times New Roman" w:hAnsi="Times New Roman" w:eastAsia="宋体" w:cs="Times New Roman"/>
                <w:i w:val="0"/>
                <w:color w:val="auto"/>
                <w:kern w:val="0"/>
                <w:sz w:val="24"/>
                <w:szCs w:val="24"/>
                <w:highlight w:val="none"/>
                <w:u w:val="none"/>
                <w:lang w:val="en-US" w:eastAsia="zh-CN" w:bidi="ar"/>
              </w:rPr>
              <w:t>平方米。主要建设科研楼、厂房、生活楼、实验楼和垃圾站等。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9305.8</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2622</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6683.8</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广胜达建筑工业化基地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总体规划用地</w:t>
            </w:r>
            <w:r>
              <w:rPr>
                <w:rFonts w:hint="eastAsia" w:ascii="Times New Roman" w:hAnsi="Times New Roman" w:eastAsia="宋体" w:cs="Times New Roman"/>
                <w:i w:val="0"/>
                <w:color w:val="auto"/>
                <w:kern w:val="0"/>
                <w:sz w:val="24"/>
                <w:szCs w:val="24"/>
                <w:highlight w:val="none"/>
                <w:u w:val="none"/>
                <w:lang w:val="en-US" w:eastAsia="zh-CN" w:bidi="ar"/>
              </w:rPr>
              <w:t>600</w:t>
            </w:r>
            <w:r>
              <w:rPr>
                <w:rFonts w:hint="default" w:ascii="Times New Roman" w:hAnsi="Times New Roman" w:eastAsia="宋体" w:cs="Times New Roman"/>
                <w:i w:val="0"/>
                <w:color w:val="auto"/>
                <w:kern w:val="0"/>
                <w:sz w:val="24"/>
                <w:szCs w:val="24"/>
                <w:highlight w:val="none"/>
                <w:u w:val="none"/>
                <w:lang w:val="en-US" w:eastAsia="zh-CN" w:bidi="ar"/>
              </w:rPr>
              <w:t>亩，投资拟分二期</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2027</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160000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i w:val="0"/>
                <w:color w:val="auto"/>
                <w:kern w:val="0"/>
                <w:sz w:val="24"/>
                <w:szCs w:val="24"/>
                <w:highlight w:val="none"/>
                <w:u w:val="none"/>
                <w:lang w:val="en-US" w:eastAsia="zh-CN" w:bidi="ar"/>
              </w:rPr>
              <w:t>三</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现代服务业工程（</w:t>
            </w:r>
            <w:r>
              <w:rPr>
                <w:rFonts w:hint="eastAsia" w:ascii="Times New Roman" w:hAnsi="Times New Roman" w:eastAsia="宋体" w:cs="Times New Roman"/>
                <w:b/>
                <w:bCs/>
                <w:i w:val="0"/>
                <w:color w:val="auto"/>
                <w:kern w:val="0"/>
                <w:sz w:val="24"/>
                <w:szCs w:val="24"/>
                <w:highlight w:val="none"/>
                <w:u w:val="none"/>
                <w:lang w:val="en-US" w:eastAsia="zh-CN" w:bidi="ar"/>
              </w:rPr>
              <w:t>11</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湛江湾实验室龙王湾研发基地一期工程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建设智能海洋装备研究中心、海洋绿色能源研究中心、海洋生物资源开发研究中心和南海资源大数据中心、智能船舶海上试验场</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大保障平台及实验室总部的基础设施、配套实验设备。</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413934</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53364</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360570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水下机器人研发中心及海洋科技成果展示交流中心</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包括水下机器人联合研发中心、海洋科技展示中心、海洋科技交流中心、海洋科技成果交易中心和海洋科技创新孵化中心等建设内容。</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84000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84000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湛江海洋科技研究中心水下机器人试验基地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陆域形成与场地平整、研发办公用房及科研实验室、仓库和数据中心、调试车间、试验水池、试验目船及交通船码头（含泊位、疏浚）。</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21730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21730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湛江海洋科技研究中心保障服务基地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人才公寓、周转用房、成果展示中心、生活休闲设施等（含土地征用）。</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51000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51000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中科院海洋监测产业园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建筑面积</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万平方米，研发大楼（内含海洋监测、海洋环保工程咨询、海洋修复、海洋监测设备等），园区绿化、路面硬化等工程。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99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龙王湾科研码头</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建建设</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w:t>
            </w:r>
            <w:r>
              <w:rPr>
                <w:rFonts w:hint="eastAsia" w:ascii="Times New Roman" w:hAnsi="Times New Roman" w:eastAsia="宋体" w:cs="Times New Roman"/>
                <w:i w:val="0"/>
                <w:color w:val="auto"/>
                <w:kern w:val="0"/>
                <w:sz w:val="24"/>
                <w:szCs w:val="24"/>
                <w:highlight w:val="none"/>
                <w:u w:val="none"/>
                <w:lang w:val="en-US" w:eastAsia="zh-CN" w:bidi="ar"/>
              </w:rPr>
              <w:t>5000</w:t>
            </w:r>
            <w:r>
              <w:rPr>
                <w:rFonts w:hint="default" w:ascii="Times New Roman" w:hAnsi="Times New Roman" w:eastAsia="宋体" w:cs="Times New Roman"/>
                <w:i w:val="0"/>
                <w:color w:val="auto"/>
                <w:kern w:val="0"/>
                <w:sz w:val="24"/>
                <w:szCs w:val="24"/>
                <w:highlight w:val="none"/>
                <w:u w:val="none"/>
                <w:lang w:val="en-US" w:eastAsia="zh-CN" w:bidi="ar"/>
              </w:rPr>
              <w:t>吨级智能技术试验船科研码头，码头岸线总长约</w:t>
            </w:r>
            <w:r>
              <w:rPr>
                <w:rFonts w:hint="eastAsia" w:ascii="Times New Roman" w:hAnsi="Times New Roman" w:eastAsia="宋体" w:cs="Times New Roman"/>
                <w:i w:val="0"/>
                <w:color w:val="auto"/>
                <w:kern w:val="0"/>
                <w:sz w:val="24"/>
                <w:szCs w:val="24"/>
                <w:highlight w:val="none"/>
                <w:u w:val="none"/>
                <w:lang w:val="en-US" w:eastAsia="zh-CN" w:bidi="ar"/>
              </w:rPr>
              <w:t>465M</w:t>
            </w:r>
            <w:r>
              <w:rPr>
                <w:rFonts w:hint="default" w:ascii="Times New Roman" w:hAnsi="Times New Roman" w:eastAsia="宋体" w:cs="Times New Roman"/>
                <w:i w:val="0"/>
                <w:color w:val="auto"/>
                <w:kern w:val="0"/>
                <w:sz w:val="24"/>
                <w:szCs w:val="24"/>
                <w:highlight w:val="none"/>
                <w:u w:val="none"/>
                <w:lang w:val="en-US" w:eastAsia="zh-CN" w:bidi="ar"/>
              </w:rPr>
              <w:t>（含公共码头、水下机器人试验平台码头），陆域占地面积</w:t>
            </w:r>
            <w:r>
              <w:rPr>
                <w:rFonts w:hint="eastAsia" w:ascii="Times New Roman" w:hAnsi="Times New Roman" w:eastAsia="宋体" w:cs="Times New Roman"/>
                <w:i w:val="0"/>
                <w:color w:val="auto"/>
                <w:kern w:val="0"/>
                <w:sz w:val="24"/>
                <w:szCs w:val="24"/>
                <w:highlight w:val="none"/>
                <w:u w:val="none"/>
                <w:lang w:val="en-US" w:eastAsia="zh-CN" w:bidi="ar"/>
              </w:rPr>
              <w:t>46</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海上风电机组智能化总装基地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项目达产后，可为当地创造就业岗位</w:t>
            </w:r>
            <w:r>
              <w:rPr>
                <w:rFonts w:hint="eastAsia" w:ascii="Times New Roman" w:hAnsi="Times New Roman" w:eastAsia="宋体" w:cs="Times New Roman"/>
                <w:i w:val="0"/>
                <w:color w:val="auto"/>
                <w:kern w:val="0"/>
                <w:sz w:val="24"/>
                <w:szCs w:val="24"/>
                <w:highlight w:val="none"/>
                <w:u w:val="none"/>
                <w:lang w:val="en-US" w:eastAsia="zh-CN" w:bidi="ar"/>
              </w:rPr>
              <w:t>350</w:t>
            </w:r>
            <w:r>
              <w:rPr>
                <w:rFonts w:hint="default" w:ascii="Times New Roman" w:hAnsi="Times New Roman" w:eastAsia="宋体" w:cs="Times New Roman"/>
                <w:i w:val="0"/>
                <w:color w:val="auto"/>
                <w:kern w:val="0"/>
                <w:sz w:val="24"/>
                <w:szCs w:val="24"/>
                <w:highlight w:val="none"/>
                <w:u w:val="none"/>
                <w:lang w:val="en-US" w:eastAsia="zh-CN" w:bidi="ar"/>
              </w:rPr>
              <w:t>个，每年可为当地纳税</w:t>
            </w:r>
            <w:r>
              <w:rPr>
                <w:rFonts w:hint="eastAsia" w:ascii="Times New Roman" w:hAnsi="Times New Roman" w:eastAsia="宋体" w:cs="Times New Roman"/>
                <w:i w:val="0"/>
                <w:color w:val="auto"/>
                <w:kern w:val="0"/>
                <w:sz w:val="24"/>
                <w:szCs w:val="24"/>
                <w:highlight w:val="none"/>
                <w:u w:val="none"/>
                <w:lang w:val="en-US" w:eastAsia="zh-CN" w:bidi="ar"/>
              </w:rPr>
              <w:t>2.1</w:t>
            </w:r>
            <w:r>
              <w:rPr>
                <w:rFonts w:hint="default" w:ascii="Times New Roman" w:hAnsi="Times New Roman" w:eastAsia="宋体" w:cs="Times New Roman"/>
                <w:i w:val="0"/>
                <w:color w:val="auto"/>
                <w:kern w:val="0"/>
                <w:sz w:val="24"/>
                <w:szCs w:val="24"/>
                <w:highlight w:val="none"/>
                <w:u w:val="none"/>
                <w:lang w:val="en-US" w:eastAsia="zh-CN" w:bidi="ar"/>
              </w:rPr>
              <w:t>亿元。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37000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37000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智能海上风电运维中心</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功能包含：运维中心，生活配套，办公培训，联合仓库，维修中心、风电码头</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座，直升机机场</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座，直升飞机</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架，公交巴士及线路一条。</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107000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107000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广东元和鑫龙游艇有限公司亚洲游艇中心（第一期）新建项目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该项目第一期占地约</w:t>
            </w:r>
            <w:r>
              <w:rPr>
                <w:rFonts w:hint="eastAsia" w:ascii="Times New Roman" w:hAnsi="Times New Roman" w:eastAsia="宋体" w:cs="Times New Roman"/>
                <w:i w:val="0"/>
                <w:color w:val="auto"/>
                <w:kern w:val="0"/>
                <w:sz w:val="24"/>
                <w:szCs w:val="24"/>
                <w:highlight w:val="none"/>
                <w:u w:val="none"/>
                <w:lang w:val="en-US" w:eastAsia="zh-CN" w:bidi="ar"/>
              </w:rPr>
              <w:t>100</w:t>
            </w:r>
            <w:r>
              <w:rPr>
                <w:rFonts w:hint="default" w:ascii="Times New Roman" w:hAnsi="Times New Roman" w:eastAsia="宋体" w:cs="Times New Roman"/>
                <w:i w:val="0"/>
                <w:color w:val="auto"/>
                <w:kern w:val="0"/>
                <w:sz w:val="24"/>
                <w:szCs w:val="24"/>
                <w:highlight w:val="none"/>
                <w:u w:val="none"/>
                <w:lang w:val="en-US" w:eastAsia="zh-CN" w:bidi="ar"/>
              </w:rPr>
              <w:t>亩，建设内容包括（</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）游艇研究院</w:t>
            </w:r>
            <w:r>
              <w:rPr>
                <w:rFonts w:hint="eastAsia" w:ascii="Times New Roman" w:hAnsi="Times New Roman" w:eastAsia="宋体" w:cs="Times New Roman"/>
                <w:i w:val="0"/>
                <w:color w:val="auto"/>
                <w:kern w:val="0"/>
                <w:sz w:val="24"/>
                <w:szCs w:val="24"/>
                <w:highlight w:val="none"/>
                <w:u w:val="none"/>
                <w:lang w:val="en-US" w:eastAsia="zh-CN" w:bidi="ar"/>
              </w:rPr>
              <w:t>20000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）游艇设计和技术中心</w:t>
            </w:r>
            <w:r>
              <w:rPr>
                <w:rFonts w:hint="eastAsia" w:ascii="Times New Roman" w:hAnsi="Times New Roman" w:eastAsia="宋体" w:cs="Times New Roman"/>
                <w:i w:val="0"/>
                <w:color w:val="auto"/>
                <w:kern w:val="0"/>
                <w:sz w:val="24"/>
                <w:szCs w:val="24"/>
                <w:highlight w:val="none"/>
                <w:u w:val="none"/>
                <w:lang w:val="en-US" w:eastAsia="zh-CN" w:bidi="ar"/>
              </w:rPr>
              <w:t>8000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）游艇制造和维养基地</w:t>
            </w:r>
            <w:r>
              <w:rPr>
                <w:rFonts w:hint="eastAsia" w:ascii="Times New Roman" w:hAnsi="Times New Roman" w:eastAsia="宋体" w:cs="Times New Roman"/>
                <w:i w:val="0"/>
                <w:color w:val="auto"/>
                <w:kern w:val="0"/>
                <w:sz w:val="24"/>
                <w:szCs w:val="24"/>
                <w:highlight w:val="none"/>
                <w:u w:val="none"/>
                <w:lang w:val="en-US" w:eastAsia="zh-CN" w:bidi="ar"/>
              </w:rPr>
              <w:t>60000</w:t>
            </w:r>
            <w:r>
              <w:rPr>
                <w:rFonts w:hint="default" w:ascii="Times New Roman" w:hAnsi="Times New Roman" w:eastAsia="宋体" w:cs="Times New Roman"/>
                <w:i w:val="0"/>
                <w:color w:val="auto"/>
                <w:kern w:val="0"/>
                <w:sz w:val="24"/>
                <w:szCs w:val="24"/>
                <w:highlight w:val="none"/>
                <w:u w:val="none"/>
                <w:lang w:val="en-US" w:eastAsia="zh-CN" w:bidi="ar"/>
              </w:rPr>
              <w:t>平方米，厂房高度</w:t>
            </w:r>
            <w:r>
              <w:rPr>
                <w:rFonts w:hint="eastAsia" w:ascii="Times New Roman" w:hAnsi="Times New Roman" w:eastAsia="宋体" w:cs="Times New Roman"/>
                <w:i w:val="0"/>
                <w:color w:val="auto"/>
                <w:kern w:val="0"/>
                <w:sz w:val="24"/>
                <w:szCs w:val="24"/>
                <w:highlight w:val="none"/>
                <w:u w:val="none"/>
                <w:lang w:val="en-US" w:eastAsia="zh-CN" w:bidi="ar"/>
              </w:rPr>
              <w:t>12</w:t>
            </w:r>
            <w:r>
              <w:rPr>
                <w:rFonts w:hint="default" w:ascii="Times New Roman" w:hAnsi="Times New Roman" w:eastAsia="宋体" w:cs="Times New Roman"/>
                <w:i w:val="0"/>
                <w:color w:val="auto"/>
                <w:kern w:val="0"/>
                <w:sz w:val="24"/>
                <w:szCs w:val="24"/>
                <w:highlight w:val="none"/>
                <w:u w:val="none"/>
                <w:lang w:val="en-US" w:eastAsia="zh-CN" w:bidi="ar"/>
              </w:rPr>
              <w:t>至</w:t>
            </w:r>
            <w:r>
              <w:rPr>
                <w:rFonts w:hint="eastAsia" w:ascii="Times New Roman" w:hAnsi="Times New Roman" w:eastAsia="宋体" w:cs="Times New Roman"/>
                <w:i w:val="0"/>
                <w:color w:val="auto"/>
                <w:kern w:val="0"/>
                <w:sz w:val="24"/>
                <w:szCs w:val="24"/>
                <w:highlight w:val="none"/>
                <w:u w:val="none"/>
                <w:lang w:val="en-US" w:eastAsia="zh-CN" w:bidi="ar"/>
              </w:rPr>
              <w:t>16</w:t>
            </w:r>
            <w:r>
              <w:rPr>
                <w:rFonts w:hint="default" w:ascii="Times New Roman" w:hAnsi="Times New Roman" w:eastAsia="宋体" w:cs="Times New Roman"/>
                <w:i w:val="0"/>
                <w:color w:val="auto"/>
                <w:kern w:val="0"/>
                <w:sz w:val="24"/>
                <w:szCs w:val="24"/>
                <w:highlight w:val="none"/>
                <w:u w:val="none"/>
                <w:lang w:val="en-US" w:eastAsia="zh-CN" w:bidi="ar"/>
              </w:rPr>
              <w:t>米；（</w:t>
            </w:r>
            <w:r>
              <w:rPr>
                <w:rFonts w:hint="eastAsia" w:ascii="Times New Roman" w:hAnsi="Times New Roman" w:eastAsia="宋体"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）游艇文化展览馆及销售中心</w:t>
            </w:r>
            <w:r>
              <w:rPr>
                <w:rFonts w:hint="eastAsia" w:ascii="Times New Roman" w:hAnsi="Times New Roman" w:eastAsia="宋体" w:cs="Times New Roman"/>
                <w:i w:val="0"/>
                <w:color w:val="auto"/>
                <w:kern w:val="0"/>
                <w:sz w:val="24"/>
                <w:szCs w:val="24"/>
                <w:highlight w:val="none"/>
                <w:u w:val="none"/>
                <w:lang w:val="en-US" w:eastAsia="zh-CN" w:bidi="ar"/>
              </w:rPr>
              <w:t>10000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）行政办公及配套服务设施</w:t>
            </w:r>
            <w:r>
              <w:rPr>
                <w:rFonts w:hint="eastAsia" w:ascii="Times New Roman" w:hAnsi="Times New Roman" w:eastAsia="宋体" w:cs="Times New Roman"/>
                <w:i w:val="0"/>
                <w:color w:val="auto"/>
                <w:kern w:val="0"/>
                <w:sz w:val="24"/>
                <w:szCs w:val="24"/>
                <w:highlight w:val="none"/>
                <w:u w:val="none"/>
                <w:lang w:val="en-US" w:eastAsia="zh-CN" w:bidi="ar"/>
              </w:rPr>
              <w:t>80000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）绿化及道路</w:t>
            </w:r>
            <w:r>
              <w:rPr>
                <w:rFonts w:hint="eastAsia" w:ascii="Times New Roman" w:hAnsi="Times New Roman" w:eastAsia="宋体" w:cs="Times New Roman"/>
                <w:i w:val="0"/>
                <w:color w:val="auto"/>
                <w:kern w:val="0"/>
                <w:sz w:val="24"/>
                <w:szCs w:val="24"/>
                <w:highlight w:val="none"/>
                <w:u w:val="none"/>
                <w:lang w:val="en-US" w:eastAsia="zh-CN" w:bidi="ar"/>
              </w:rPr>
              <w:t>22000</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海荃新能源游艇研发制造项目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项目占地面积</w:t>
            </w:r>
            <w:r>
              <w:rPr>
                <w:rFonts w:hint="eastAsia" w:ascii="Times New Roman" w:hAnsi="Times New Roman" w:eastAsia="宋体" w:cs="Times New Roman"/>
                <w:i w:val="0"/>
                <w:color w:val="auto"/>
                <w:kern w:val="0"/>
                <w:sz w:val="24"/>
                <w:szCs w:val="24"/>
                <w:highlight w:val="none"/>
                <w:u w:val="none"/>
                <w:lang w:val="en-US" w:eastAsia="zh-CN" w:bidi="ar"/>
              </w:rPr>
              <w:t>33501</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亩），总建筑面积</w:t>
            </w:r>
            <w:r>
              <w:rPr>
                <w:rFonts w:hint="eastAsia" w:ascii="Times New Roman" w:hAnsi="Times New Roman" w:eastAsia="宋体" w:cs="Times New Roman"/>
                <w:i w:val="0"/>
                <w:color w:val="auto"/>
                <w:kern w:val="0"/>
                <w:sz w:val="24"/>
                <w:szCs w:val="24"/>
                <w:highlight w:val="none"/>
                <w:u w:val="none"/>
                <w:lang w:val="en-US" w:eastAsia="zh-CN" w:bidi="ar"/>
              </w:rPr>
              <w:t>19900</w:t>
            </w:r>
            <w:r>
              <w:rPr>
                <w:rFonts w:hint="default" w:ascii="Times New Roman" w:hAnsi="Times New Roman" w:eastAsia="宋体" w:cs="Times New Roman"/>
                <w:i w:val="0"/>
                <w:color w:val="auto"/>
                <w:kern w:val="0"/>
                <w:sz w:val="24"/>
                <w:szCs w:val="24"/>
                <w:highlight w:val="none"/>
                <w:u w:val="none"/>
                <w:lang w:val="en-US" w:eastAsia="zh-CN" w:bidi="ar"/>
              </w:rPr>
              <w:t>平方米，其中生产厂房</w:t>
            </w:r>
            <w:r>
              <w:rPr>
                <w:rFonts w:hint="eastAsia" w:ascii="Times New Roman" w:hAnsi="Times New Roman" w:eastAsia="宋体" w:cs="Times New Roman"/>
                <w:i w:val="0"/>
                <w:color w:val="auto"/>
                <w:kern w:val="0"/>
                <w:sz w:val="24"/>
                <w:szCs w:val="24"/>
                <w:highlight w:val="none"/>
                <w:u w:val="none"/>
                <w:lang w:val="en-US" w:eastAsia="zh-CN" w:bidi="ar"/>
              </w:rPr>
              <w:t>14600</w:t>
            </w:r>
            <w:r>
              <w:rPr>
                <w:rFonts w:hint="default" w:ascii="Times New Roman" w:hAnsi="Times New Roman" w:eastAsia="宋体" w:cs="Times New Roman"/>
                <w:i w:val="0"/>
                <w:color w:val="auto"/>
                <w:kern w:val="0"/>
                <w:sz w:val="24"/>
                <w:szCs w:val="24"/>
                <w:highlight w:val="none"/>
                <w:u w:val="none"/>
                <w:lang w:val="en-US" w:eastAsia="zh-CN" w:bidi="ar"/>
              </w:rPr>
              <w:t>平方米；设计研发与新产品展示中心</w:t>
            </w:r>
            <w:r>
              <w:rPr>
                <w:rFonts w:hint="eastAsia" w:ascii="Times New Roman" w:hAnsi="Times New Roman" w:eastAsia="宋体" w:cs="Times New Roman"/>
                <w:i w:val="0"/>
                <w:color w:val="auto"/>
                <w:kern w:val="0"/>
                <w:sz w:val="24"/>
                <w:szCs w:val="24"/>
                <w:highlight w:val="none"/>
                <w:u w:val="none"/>
                <w:lang w:val="en-US" w:eastAsia="zh-CN" w:bidi="ar"/>
              </w:rPr>
              <w:t>3500</w:t>
            </w:r>
            <w:r>
              <w:rPr>
                <w:rFonts w:hint="default" w:ascii="Times New Roman" w:hAnsi="Times New Roman" w:eastAsia="宋体" w:cs="Times New Roman"/>
                <w:i w:val="0"/>
                <w:color w:val="auto"/>
                <w:kern w:val="0"/>
                <w:sz w:val="24"/>
                <w:szCs w:val="24"/>
                <w:highlight w:val="none"/>
                <w:u w:val="none"/>
                <w:lang w:val="en-US" w:eastAsia="zh-CN" w:bidi="ar"/>
              </w:rPr>
              <w:t>平方米；原料仓库</w:t>
            </w:r>
            <w:r>
              <w:rPr>
                <w:rFonts w:hint="eastAsia" w:ascii="Times New Roman" w:hAnsi="Times New Roman" w:eastAsia="宋体" w:cs="Times New Roman"/>
                <w:i w:val="0"/>
                <w:color w:val="auto"/>
                <w:kern w:val="0"/>
                <w:sz w:val="24"/>
                <w:szCs w:val="24"/>
                <w:highlight w:val="none"/>
                <w:u w:val="none"/>
                <w:lang w:val="en-US" w:eastAsia="zh-CN" w:bidi="ar"/>
              </w:rPr>
              <w:t>1800</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智能船舶海上试验场南三岛综合试验保障基地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）陆地规划建设内容：南三岛基地陆域规划用地面积约为</w:t>
            </w:r>
            <w:r>
              <w:rPr>
                <w:rFonts w:hint="eastAsia" w:ascii="Times New Roman" w:hAnsi="Times New Roman" w:eastAsia="宋体" w:cs="Times New Roman"/>
                <w:i w:val="0"/>
                <w:color w:val="auto"/>
                <w:kern w:val="0"/>
                <w:sz w:val="24"/>
                <w:szCs w:val="24"/>
                <w:highlight w:val="none"/>
                <w:u w:val="none"/>
                <w:lang w:val="en-US" w:eastAsia="zh-CN" w:bidi="ar"/>
              </w:rPr>
              <w:t>150</w:t>
            </w:r>
            <w:r>
              <w:rPr>
                <w:rFonts w:hint="default" w:ascii="Times New Roman" w:hAnsi="Times New Roman" w:eastAsia="宋体" w:cs="Times New Roman"/>
                <w:i w:val="0"/>
                <w:color w:val="auto"/>
                <w:kern w:val="0"/>
                <w:sz w:val="24"/>
                <w:szCs w:val="24"/>
                <w:highlight w:val="none"/>
                <w:u w:val="none"/>
                <w:lang w:val="en-US" w:eastAsia="zh-CN" w:bidi="ar"/>
              </w:rPr>
              <w:t>亩，主要由陆域部分和海域码头组成。陆域设施包含有：岸基指控大楼、生活辅助楼、智能系统联调与保障车间、生产辅助楼、通信楼、堆场、供水调节站、变电所及其他保障设施等；海域规划建设一个室内干船坞和一个离岸码头。</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）码头规划建设内容：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整体规划</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个</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万吨级泊位（结构按</w:t>
            </w: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万吨级预留），泊位长度为</w:t>
            </w:r>
            <w:r>
              <w:rPr>
                <w:rFonts w:hint="eastAsia" w:ascii="Times New Roman" w:hAnsi="Times New Roman" w:eastAsia="宋体" w:cs="Times New Roman"/>
                <w:i w:val="0"/>
                <w:color w:val="auto"/>
                <w:kern w:val="0"/>
                <w:sz w:val="24"/>
                <w:szCs w:val="24"/>
                <w:highlight w:val="none"/>
                <w:u w:val="none"/>
                <w:lang w:val="en-US" w:eastAsia="zh-CN" w:bidi="ar"/>
              </w:rPr>
              <w:t>590</w:t>
            </w:r>
            <w:r>
              <w:rPr>
                <w:rFonts w:hint="default" w:ascii="Times New Roman" w:hAnsi="Times New Roman" w:eastAsia="宋体" w:cs="Times New Roman"/>
                <w:i w:val="0"/>
                <w:color w:val="auto"/>
                <w:kern w:val="0"/>
                <w:sz w:val="24"/>
                <w:szCs w:val="24"/>
                <w:highlight w:val="none"/>
                <w:u w:val="none"/>
                <w:lang w:val="en-US" w:eastAsia="zh-CN" w:bidi="ar"/>
              </w:rPr>
              <w:t>米。近期建设</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个</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万吨级泊位，泊位长度为</w:t>
            </w:r>
            <w:r>
              <w:rPr>
                <w:rFonts w:hint="eastAsia" w:ascii="Times New Roman" w:hAnsi="Times New Roman" w:eastAsia="宋体" w:cs="Times New Roman"/>
                <w:i w:val="0"/>
                <w:color w:val="auto"/>
                <w:kern w:val="0"/>
                <w:sz w:val="24"/>
                <w:szCs w:val="24"/>
                <w:highlight w:val="none"/>
                <w:u w:val="none"/>
                <w:lang w:val="en-US" w:eastAsia="zh-CN" w:bidi="ar"/>
              </w:rPr>
              <w:t>359</w:t>
            </w:r>
            <w:r>
              <w:rPr>
                <w:rFonts w:hint="default" w:ascii="Times New Roman" w:hAnsi="Times New Roman" w:eastAsia="宋体" w:cs="Times New Roman"/>
                <w:i w:val="0"/>
                <w:color w:val="auto"/>
                <w:kern w:val="0"/>
                <w:sz w:val="24"/>
                <w:szCs w:val="24"/>
                <w:highlight w:val="none"/>
                <w:u w:val="none"/>
                <w:lang w:val="en-US" w:eastAsia="zh-CN" w:bidi="ar"/>
              </w:rPr>
              <w:t>米，靠泊船型范围为</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千~</w:t>
            </w:r>
            <w:r>
              <w:rPr>
                <w:rFonts w:hint="eastAsia" w:ascii="Times New Roman" w:hAnsi="Times New Roman" w:eastAsia="宋体" w:cs="Times New Roman"/>
                <w:i w:val="0"/>
                <w:color w:val="auto"/>
                <w:kern w:val="0"/>
                <w:sz w:val="24"/>
                <w:szCs w:val="24"/>
                <w:highlight w:val="none"/>
                <w:u w:val="none"/>
                <w:lang w:val="en-US" w:eastAsia="zh-CN" w:bidi="ar"/>
              </w:rPr>
              <w:t>5</w:t>
            </w:r>
            <w:r>
              <w:rPr>
                <w:rFonts w:hint="default" w:ascii="Times New Roman" w:hAnsi="Times New Roman" w:eastAsia="宋体" w:cs="Times New Roman"/>
                <w:i w:val="0"/>
                <w:color w:val="auto"/>
                <w:kern w:val="0"/>
                <w:sz w:val="24"/>
                <w:szCs w:val="24"/>
                <w:highlight w:val="none"/>
                <w:u w:val="none"/>
                <w:lang w:val="en-US" w:eastAsia="zh-CN" w:bidi="ar"/>
              </w:rPr>
              <w:t>万吨级船舶。</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四</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农林牧渔项目（</w:t>
            </w:r>
            <w:r>
              <w:rPr>
                <w:rFonts w:hint="eastAsia" w:ascii="Times New Roman" w:hAnsi="Times New Roman" w:eastAsia="宋体" w:cs="Times New Roman"/>
                <w:b/>
                <w:bCs/>
                <w:i w:val="0"/>
                <w:color w:val="auto"/>
                <w:kern w:val="0"/>
                <w:sz w:val="24"/>
                <w:szCs w:val="24"/>
                <w:highlight w:val="none"/>
                <w:u w:val="none"/>
                <w:lang w:val="en-US" w:eastAsia="zh-CN" w:bidi="ar"/>
              </w:rPr>
              <w:t>4</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粤水渔业远洋渔业基地</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建设远洋渔业码头、渔船修理厂、水产加工厂、冷库、水产品交易中心、鱼需品交易市场、旅游休闲酒店、海洋科技研发中心、渔业休闲购物中心、展览馆、海鲜食肆一条街。</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2026</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44957.5</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湛江市坡头区龙头镇健正畜牧有限公司标准化规模种猪养殖场建设项目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、生产管理建设类：新建各类猪舍</w:t>
            </w:r>
            <w:r>
              <w:rPr>
                <w:rFonts w:hint="eastAsia" w:ascii="Times New Roman" w:hAnsi="Times New Roman" w:eastAsia="宋体" w:cs="Times New Roman"/>
                <w:i w:val="0"/>
                <w:color w:val="auto"/>
                <w:kern w:val="0"/>
                <w:sz w:val="24"/>
                <w:szCs w:val="24"/>
                <w:highlight w:val="none"/>
                <w:u w:val="none"/>
                <w:lang w:val="en-US" w:eastAsia="zh-CN" w:bidi="ar"/>
              </w:rPr>
              <w:t>139200</w:t>
            </w:r>
            <w:r>
              <w:rPr>
                <w:rFonts w:hint="default" w:ascii="Times New Roman" w:hAnsi="Times New Roman" w:eastAsia="宋体" w:cs="Times New Roman"/>
                <w:i w:val="0"/>
                <w:color w:val="auto"/>
                <w:kern w:val="0"/>
                <w:sz w:val="24"/>
                <w:szCs w:val="24"/>
                <w:highlight w:val="none"/>
                <w:u w:val="none"/>
                <w:lang w:val="en-US" w:eastAsia="zh-CN" w:bidi="ar"/>
              </w:rPr>
              <w:t>平方米；其他用房</w:t>
            </w:r>
            <w:r>
              <w:rPr>
                <w:rFonts w:hint="eastAsia" w:ascii="Times New Roman" w:hAnsi="Times New Roman" w:eastAsia="宋体" w:cs="Times New Roman"/>
                <w:i w:val="0"/>
                <w:color w:val="auto"/>
                <w:kern w:val="0"/>
                <w:sz w:val="24"/>
                <w:szCs w:val="24"/>
                <w:highlight w:val="none"/>
                <w:u w:val="none"/>
                <w:lang w:val="en-US" w:eastAsia="zh-CN" w:bidi="ar"/>
              </w:rPr>
              <w:t>2010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、生产辅助建设类：建设污水池</w:t>
            </w:r>
            <w:r>
              <w:rPr>
                <w:rFonts w:hint="eastAsia" w:ascii="Times New Roman" w:hAnsi="Times New Roman" w:eastAsia="宋体" w:cs="Times New Roman"/>
                <w:i w:val="0"/>
                <w:color w:val="auto"/>
                <w:kern w:val="0"/>
                <w:sz w:val="24"/>
                <w:szCs w:val="24"/>
                <w:highlight w:val="none"/>
                <w:u w:val="none"/>
                <w:lang w:val="en-US" w:eastAsia="zh-CN" w:bidi="ar"/>
              </w:rPr>
              <w:t>1250</w:t>
            </w:r>
            <w:r>
              <w:rPr>
                <w:rFonts w:hint="default" w:ascii="Times New Roman" w:hAnsi="Times New Roman" w:eastAsia="宋体" w:cs="Times New Roman"/>
                <w:i w:val="0"/>
                <w:color w:val="auto"/>
                <w:kern w:val="0"/>
                <w:sz w:val="24"/>
                <w:szCs w:val="24"/>
                <w:highlight w:val="none"/>
                <w:u w:val="none"/>
                <w:lang w:val="en-US" w:eastAsia="zh-CN" w:bidi="ar"/>
              </w:rPr>
              <w:t>立方米；晒粪池</w:t>
            </w:r>
            <w:r>
              <w:rPr>
                <w:rFonts w:hint="eastAsia" w:ascii="Times New Roman" w:hAnsi="Times New Roman" w:eastAsia="宋体" w:cs="Times New Roman"/>
                <w:i w:val="0"/>
                <w:color w:val="auto"/>
                <w:kern w:val="0"/>
                <w:sz w:val="24"/>
                <w:szCs w:val="24"/>
                <w:highlight w:val="none"/>
                <w:u w:val="none"/>
                <w:lang w:val="en-US" w:eastAsia="zh-CN" w:bidi="ar"/>
              </w:rPr>
              <w:t>900</w:t>
            </w:r>
            <w:r>
              <w:rPr>
                <w:rFonts w:hint="default" w:ascii="Times New Roman" w:hAnsi="Times New Roman" w:eastAsia="宋体" w:cs="Times New Roman"/>
                <w:i w:val="0"/>
                <w:color w:val="auto"/>
                <w:kern w:val="0"/>
                <w:sz w:val="24"/>
                <w:szCs w:val="24"/>
                <w:highlight w:val="none"/>
                <w:u w:val="none"/>
                <w:lang w:val="en-US" w:eastAsia="zh-CN" w:bidi="ar"/>
              </w:rPr>
              <w:t>平方米；场外修路</w:t>
            </w:r>
            <w:r>
              <w:rPr>
                <w:rFonts w:hint="eastAsia" w:ascii="Times New Roman" w:hAnsi="Times New Roman" w:eastAsia="宋体" w:cs="Times New Roman"/>
                <w:i w:val="0"/>
                <w:color w:val="auto"/>
                <w:kern w:val="0"/>
                <w:sz w:val="24"/>
                <w:szCs w:val="24"/>
                <w:highlight w:val="none"/>
                <w:u w:val="none"/>
                <w:lang w:val="en-US" w:eastAsia="zh-CN" w:bidi="ar"/>
              </w:rPr>
              <w:t>300</w:t>
            </w:r>
            <w:r>
              <w:rPr>
                <w:rFonts w:hint="default" w:ascii="Times New Roman" w:hAnsi="Times New Roman" w:eastAsia="宋体" w:cs="Times New Roman"/>
                <w:i w:val="0"/>
                <w:color w:val="auto"/>
                <w:kern w:val="0"/>
                <w:sz w:val="24"/>
                <w:szCs w:val="24"/>
                <w:highlight w:val="none"/>
                <w:u w:val="none"/>
                <w:lang w:val="en-US" w:eastAsia="zh-CN" w:bidi="ar"/>
              </w:rPr>
              <w:t>米；场内修路</w:t>
            </w:r>
            <w:r>
              <w:rPr>
                <w:rFonts w:hint="eastAsia" w:ascii="Times New Roman" w:hAnsi="Times New Roman" w:eastAsia="宋体" w:cs="Times New Roman"/>
                <w:i w:val="0"/>
                <w:color w:val="auto"/>
                <w:kern w:val="0"/>
                <w:sz w:val="24"/>
                <w:szCs w:val="24"/>
                <w:highlight w:val="none"/>
                <w:u w:val="none"/>
                <w:lang w:val="en-US" w:eastAsia="zh-CN" w:bidi="ar"/>
              </w:rPr>
              <w:t>300</w:t>
            </w:r>
            <w:r>
              <w:rPr>
                <w:rFonts w:hint="default" w:ascii="Times New Roman" w:hAnsi="Times New Roman" w:eastAsia="宋体" w:cs="Times New Roman"/>
                <w:i w:val="0"/>
                <w:color w:val="auto"/>
                <w:kern w:val="0"/>
                <w:sz w:val="24"/>
                <w:szCs w:val="24"/>
                <w:highlight w:val="none"/>
                <w:u w:val="none"/>
                <w:lang w:val="en-US" w:eastAsia="zh-CN" w:bidi="ar"/>
              </w:rPr>
              <w:t>米；打井</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口深</w:t>
            </w:r>
            <w:r>
              <w:rPr>
                <w:rFonts w:hint="eastAsia" w:ascii="Times New Roman" w:hAnsi="Times New Roman" w:eastAsia="宋体" w:cs="Times New Roman"/>
                <w:i w:val="0"/>
                <w:color w:val="auto"/>
                <w:kern w:val="0"/>
                <w:sz w:val="24"/>
                <w:szCs w:val="24"/>
                <w:highlight w:val="none"/>
                <w:u w:val="none"/>
                <w:lang w:val="en-US" w:eastAsia="zh-CN" w:bidi="ar"/>
              </w:rPr>
              <w:t>250</w:t>
            </w:r>
            <w:r>
              <w:rPr>
                <w:rFonts w:hint="default" w:ascii="Times New Roman" w:hAnsi="Times New Roman" w:eastAsia="宋体" w:cs="Times New Roman"/>
                <w:i w:val="0"/>
                <w:color w:val="auto"/>
                <w:kern w:val="0"/>
                <w:sz w:val="24"/>
                <w:szCs w:val="24"/>
                <w:highlight w:val="none"/>
                <w:u w:val="none"/>
                <w:lang w:val="en-US" w:eastAsia="zh-CN" w:bidi="ar"/>
              </w:rPr>
              <w:t>米。</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、设备机械类：购置大型抽风机</w:t>
            </w:r>
            <w:r>
              <w:rPr>
                <w:rFonts w:hint="eastAsia" w:ascii="Times New Roman" w:hAnsi="Times New Roman" w:eastAsia="宋体" w:cs="Times New Roman"/>
                <w:i w:val="0"/>
                <w:color w:val="auto"/>
                <w:kern w:val="0"/>
                <w:sz w:val="24"/>
                <w:szCs w:val="24"/>
                <w:highlight w:val="none"/>
                <w:u w:val="none"/>
                <w:lang w:val="en-US" w:eastAsia="zh-CN" w:bidi="ar"/>
              </w:rPr>
              <w:t>140</w:t>
            </w:r>
            <w:r>
              <w:rPr>
                <w:rFonts w:hint="default" w:ascii="Times New Roman" w:hAnsi="Times New Roman" w:eastAsia="宋体" w:cs="Times New Roman"/>
                <w:i w:val="0"/>
                <w:color w:val="auto"/>
                <w:kern w:val="0"/>
                <w:sz w:val="24"/>
                <w:szCs w:val="24"/>
                <w:highlight w:val="none"/>
                <w:u w:val="none"/>
                <w:lang w:val="en-US" w:eastAsia="zh-CN" w:bidi="ar"/>
              </w:rPr>
              <w:t>台；中型抽风机</w:t>
            </w:r>
            <w:r>
              <w:rPr>
                <w:rFonts w:hint="eastAsia" w:ascii="Times New Roman" w:hAnsi="Times New Roman" w:eastAsia="宋体" w:cs="Times New Roman"/>
                <w:i w:val="0"/>
                <w:color w:val="auto"/>
                <w:kern w:val="0"/>
                <w:sz w:val="24"/>
                <w:szCs w:val="24"/>
                <w:highlight w:val="none"/>
                <w:u w:val="none"/>
                <w:lang w:val="en-US" w:eastAsia="zh-CN" w:bidi="ar"/>
              </w:rPr>
              <w:t>80</w:t>
            </w:r>
            <w:r>
              <w:rPr>
                <w:rFonts w:hint="default" w:ascii="Times New Roman" w:hAnsi="Times New Roman" w:eastAsia="宋体" w:cs="Times New Roman"/>
                <w:i w:val="0"/>
                <w:color w:val="auto"/>
                <w:kern w:val="0"/>
                <w:sz w:val="24"/>
                <w:szCs w:val="24"/>
                <w:highlight w:val="none"/>
                <w:u w:val="none"/>
                <w:lang w:val="en-US" w:eastAsia="zh-CN" w:bidi="ar"/>
              </w:rPr>
              <w:t>台；冷水帘</w:t>
            </w:r>
            <w:r>
              <w:rPr>
                <w:rFonts w:hint="eastAsia" w:ascii="Times New Roman" w:hAnsi="Times New Roman" w:eastAsia="宋体" w:cs="Times New Roman"/>
                <w:i w:val="0"/>
                <w:color w:val="auto"/>
                <w:kern w:val="0"/>
                <w:sz w:val="24"/>
                <w:szCs w:val="24"/>
                <w:highlight w:val="none"/>
                <w:u w:val="none"/>
                <w:lang w:val="en-US" w:eastAsia="zh-CN" w:bidi="ar"/>
              </w:rPr>
              <w:t>380</w:t>
            </w:r>
            <w:r>
              <w:rPr>
                <w:rFonts w:hint="default" w:ascii="Times New Roman" w:hAnsi="Times New Roman" w:eastAsia="宋体" w:cs="Times New Roman"/>
                <w:i w:val="0"/>
                <w:color w:val="auto"/>
                <w:kern w:val="0"/>
                <w:sz w:val="24"/>
                <w:szCs w:val="24"/>
                <w:highlight w:val="none"/>
                <w:u w:val="none"/>
                <w:lang w:val="en-US" w:eastAsia="zh-CN" w:bidi="ar"/>
              </w:rPr>
              <w:t>平方米；饲料塔</w:t>
            </w: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个；自动饮水系统</w:t>
            </w:r>
            <w:r>
              <w:rPr>
                <w:rFonts w:hint="eastAsia" w:ascii="Times New Roman" w:hAnsi="Times New Roman" w:eastAsia="宋体" w:cs="Times New Roman"/>
                <w:i w:val="0"/>
                <w:color w:val="auto"/>
                <w:kern w:val="0"/>
                <w:sz w:val="24"/>
                <w:szCs w:val="24"/>
                <w:highlight w:val="none"/>
                <w:u w:val="none"/>
                <w:lang w:val="en-US" w:eastAsia="zh-CN" w:bidi="ar"/>
              </w:rPr>
              <w:t>8</w:t>
            </w:r>
            <w:r>
              <w:rPr>
                <w:rFonts w:hint="default" w:ascii="Times New Roman" w:hAnsi="Times New Roman" w:eastAsia="宋体" w:cs="Times New Roman"/>
                <w:i w:val="0"/>
                <w:color w:val="auto"/>
                <w:kern w:val="0"/>
                <w:sz w:val="24"/>
                <w:szCs w:val="24"/>
                <w:highlight w:val="none"/>
                <w:u w:val="none"/>
                <w:lang w:val="en-US" w:eastAsia="zh-CN" w:bidi="ar"/>
              </w:rPr>
              <w:t>套；饲料电机</w:t>
            </w:r>
            <w:r>
              <w:rPr>
                <w:rFonts w:hint="eastAsia" w:ascii="Times New Roman" w:hAnsi="Times New Roman" w:eastAsia="宋体" w:cs="Times New Roman"/>
                <w:i w:val="0"/>
                <w:color w:val="auto"/>
                <w:kern w:val="0"/>
                <w:sz w:val="24"/>
                <w:szCs w:val="24"/>
                <w:highlight w:val="none"/>
                <w:u w:val="none"/>
                <w:lang w:val="en-US" w:eastAsia="zh-CN" w:bidi="ar"/>
              </w:rPr>
              <w:t>40</w:t>
            </w:r>
            <w:r>
              <w:rPr>
                <w:rFonts w:hint="default" w:ascii="Times New Roman" w:hAnsi="Times New Roman" w:eastAsia="宋体" w:cs="Times New Roman"/>
                <w:i w:val="0"/>
                <w:color w:val="auto"/>
                <w:kern w:val="0"/>
                <w:sz w:val="24"/>
                <w:szCs w:val="24"/>
                <w:highlight w:val="none"/>
                <w:u w:val="none"/>
                <w:lang w:val="en-US" w:eastAsia="zh-CN" w:bidi="ar"/>
              </w:rPr>
              <w:t>台；不锈钢料管</w:t>
            </w:r>
            <w:r>
              <w:rPr>
                <w:rFonts w:hint="eastAsia" w:ascii="Times New Roman" w:hAnsi="Times New Roman" w:eastAsia="宋体" w:cs="Times New Roman"/>
                <w:i w:val="0"/>
                <w:color w:val="auto"/>
                <w:kern w:val="0"/>
                <w:sz w:val="24"/>
                <w:szCs w:val="24"/>
                <w:highlight w:val="none"/>
                <w:u w:val="none"/>
                <w:lang w:val="en-US" w:eastAsia="zh-CN" w:bidi="ar"/>
              </w:rPr>
              <w:t>4000</w:t>
            </w:r>
            <w:r>
              <w:rPr>
                <w:rFonts w:hint="default" w:ascii="Times New Roman" w:hAnsi="Times New Roman" w:eastAsia="宋体" w:cs="Times New Roman"/>
                <w:i w:val="0"/>
                <w:color w:val="auto"/>
                <w:kern w:val="0"/>
                <w:sz w:val="24"/>
                <w:szCs w:val="24"/>
                <w:highlight w:val="none"/>
                <w:u w:val="none"/>
                <w:lang w:val="en-US" w:eastAsia="zh-CN" w:bidi="ar"/>
              </w:rPr>
              <w:t>米；温控系统</w:t>
            </w:r>
            <w:r>
              <w:rPr>
                <w:rFonts w:hint="eastAsia" w:ascii="Times New Roman" w:hAnsi="Times New Roman" w:eastAsia="宋体" w:cs="Times New Roman"/>
                <w:i w:val="0"/>
                <w:color w:val="auto"/>
                <w:kern w:val="0"/>
                <w:sz w:val="24"/>
                <w:szCs w:val="24"/>
                <w:highlight w:val="none"/>
                <w:u w:val="none"/>
                <w:lang w:val="en-US" w:eastAsia="zh-CN" w:bidi="ar"/>
              </w:rPr>
              <w:t>8</w:t>
            </w:r>
            <w:r>
              <w:rPr>
                <w:rFonts w:hint="default" w:ascii="Times New Roman" w:hAnsi="Times New Roman" w:eastAsia="宋体" w:cs="Times New Roman"/>
                <w:i w:val="0"/>
                <w:color w:val="auto"/>
                <w:kern w:val="0"/>
                <w:sz w:val="24"/>
                <w:szCs w:val="24"/>
                <w:highlight w:val="none"/>
                <w:u w:val="none"/>
                <w:lang w:val="en-US" w:eastAsia="zh-CN" w:bidi="ar"/>
              </w:rPr>
              <w:t>套；柴油发电机</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台、变压器</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台。</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2020.10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2021.10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坡头区国家现代农业产业园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对虾科技创新与成果转化工程、对虾产业智慧信息平台建设工程、对虾生态绿色养殖配套工程、湛江湾中心渔港建设工程、园区内基础设施提升工程、标准化对虾健康养殖基地建设工程、新型经营主体培育提升工程、对虾品牌培育及提升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湛江市坡头区莲藕省级现代农业产业园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莲藕精深加工、莲藕育苗和科研示范基地、太空农博园、农旅融合示范基地、农业品牌建设等。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4451.51</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548.49</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kern w:val="0"/>
                <w:sz w:val="28"/>
                <w:szCs w:val="28"/>
                <w:highlight w:val="none"/>
                <w:u w:val="none"/>
                <w:lang w:val="en-US" w:eastAsia="zh-CN" w:bidi="ar"/>
              </w:rPr>
              <w:t>五</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城市更新项目（</w:t>
            </w:r>
            <w:r>
              <w:rPr>
                <w:rFonts w:hint="eastAsia" w:ascii="Times New Roman" w:hAnsi="Times New Roman" w:eastAsia="宋体" w:cs="Times New Roman"/>
                <w:b/>
                <w:bCs/>
                <w:i w:val="0"/>
                <w:color w:val="auto"/>
                <w:kern w:val="0"/>
                <w:sz w:val="24"/>
                <w:szCs w:val="24"/>
                <w:highlight w:val="none"/>
                <w:u w:val="none"/>
                <w:lang w:val="en-US" w:eastAsia="zh-CN" w:bidi="ar"/>
              </w:rPr>
              <w:t>1</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南油产业新城统筹更新改造项目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位于坡头区，总占地面积约</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000</w:t>
            </w:r>
            <w:r>
              <w:rPr>
                <w:rFonts w:hint="default" w:ascii="Times New Roman" w:hAnsi="Times New Roman" w:eastAsia="宋体" w:cs="Times New Roman"/>
                <w:i w:val="0"/>
                <w:color w:val="auto"/>
                <w:kern w:val="0"/>
                <w:sz w:val="24"/>
                <w:szCs w:val="24"/>
                <w:highlight w:val="none"/>
                <w:u w:val="none"/>
                <w:lang w:val="en-US" w:eastAsia="zh-CN" w:bidi="ar"/>
              </w:rPr>
              <w:t>亩。其中南油矿区占地约</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550</w:t>
            </w:r>
            <w:r>
              <w:rPr>
                <w:rFonts w:hint="default" w:ascii="Times New Roman" w:hAnsi="Times New Roman" w:eastAsia="宋体" w:cs="Times New Roman"/>
                <w:i w:val="0"/>
                <w:color w:val="auto"/>
                <w:kern w:val="0"/>
                <w:sz w:val="24"/>
                <w:szCs w:val="24"/>
                <w:highlight w:val="none"/>
                <w:u w:val="none"/>
                <w:lang w:val="en-US" w:eastAsia="zh-CN" w:bidi="ar"/>
              </w:rPr>
              <w:t>亩，整合周边土地约</w:t>
            </w:r>
            <w:r>
              <w:rPr>
                <w:rFonts w:hint="eastAsia" w:ascii="Times New Roman" w:hAnsi="Times New Roman" w:eastAsia="宋体" w:cs="Times New Roman"/>
                <w:i w:val="0"/>
                <w:color w:val="auto"/>
                <w:kern w:val="0"/>
                <w:sz w:val="24"/>
                <w:szCs w:val="24"/>
                <w:highlight w:val="none"/>
                <w:u w:val="none"/>
                <w:lang w:val="en-US" w:eastAsia="zh-CN" w:bidi="ar"/>
              </w:rPr>
              <w:t>450</w:t>
            </w:r>
            <w:r>
              <w:rPr>
                <w:rFonts w:hint="default" w:ascii="Times New Roman" w:hAnsi="Times New Roman" w:eastAsia="宋体" w:cs="Times New Roman"/>
                <w:i w:val="0"/>
                <w:color w:val="auto"/>
                <w:kern w:val="0"/>
                <w:sz w:val="24"/>
                <w:szCs w:val="24"/>
                <w:highlight w:val="none"/>
                <w:u w:val="none"/>
                <w:lang w:val="en-US" w:eastAsia="zh-CN" w:bidi="ar"/>
              </w:rPr>
              <w:t>亩，拟规划总建筑面积约</w:t>
            </w:r>
            <w:r>
              <w:rPr>
                <w:rFonts w:hint="eastAsia" w:ascii="Times New Roman" w:hAnsi="Times New Roman" w:eastAsia="宋体" w:cs="Times New Roman"/>
                <w:i w:val="0"/>
                <w:color w:val="auto"/>
                <w:kern w:val="0"/>
                <w:sz w:val="24"/>
                <w:szCs w:val="24"/>
                <w:highlight w:val="none"/>
                <w:u w:val="none"/>
                <w:lang w:val="en-US" w:eastAsia="zh-CN" w:bidi="ar"/>
              </w:rPr>
              <w:t>680</w:t>
            </w:r>
            <w:r>
              <w:rPr>
                <w:rFonts w:hint="default" w:ascii="Times New Roman" w:hAnsi="Times New Roman" w:eastAsia="宋体" w:cs="Times New Roman"/>
                <w:i w:val="0"/>
                <w:color w:val="auto"/>
                <w:kern w:val="0"/>
                <w:sz w:val="24"/>
                <w:szCs w:val="24"/>
                <w:highlight w:val="none"/>
                <w:u w:val="none"/>
                <w:lang w:val="en-US" w:eastAsia="zh-CN" w:bidi="ar"/>
              </w:rPr>
              <w:t>万平方米。该项目为拆除重建项目，通过改造升级，将南油片区打造成为湛江市的城市品质提升示范区、产业聚集升级先导区以及“三旧”更新改造标杆区。</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2027</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六</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民生保障领域(</w:t>
            </w:r>
            <w:r>
              <w:rPr>
                <w:rFonts w:hint="eastAsia" w:ascii="Times New Roman" w:hAnsi="Times New Roman" w:eastAsia="宋体" w:cs="Times New Roman"/>
                <w:b/>
                <w:bCs/>
                <w:i w:val="0"/>
                <w:color w:val="auto"/>
                <w:kern w:val="0"/>
                <w:sz w:val="24"/>
                <w:szCs w:val="24"/>
                <w:highlight w:val="none"/>
                <w:u w:val="none"/>
                <w:lang w:val="en-US" w:eastAsia="zh-CN" w:bidi="ar"/>
              </w:rPr>
              <w:t>17</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坡头区敬老院</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新建区级敬老院，床位计划</w:t>
            </w:r>
            <w:r>
              <w:rPr>
                <w:rFonts w:hint="eastAsia" w:ascii="Times New Roman" w:hAnsi="Times New Roman" w:eastAsia="宋体" w:cs="Times New Roman"/>
                <w:i w:val="0"/>
                <w:color w:val="auto"/>
                <w:kern w:val="0"/>
                <w:sz w:val="24"/>
                <w:szCs w:val="24"/>
                <w:highlight w:val="none"/>
                <w:u w:val="none"/>
                <w:lang w:val="en-US" w:eastAsia="zh-CN" w:bidi="ar"/>
              </w:rPr>
              <w:t>100</w:t>
            </w:r>
            <w:r>
              <w:rPr>
                <w:rFonts w:hint="default" w:ascii="Times New Roman" w:hAnsi="Times New Roman" w:eastAsia="宋体" w:cs="Times New Roman"/>
                <w:i w:val="0"/>
                <w:color w:val="auto"/>
                <w:kern w:val="0"/>
                <w:sz w:val="24"/>
                <w:szCs w:val="24"/>
                <w:highlight w:val="none"/>
                <w:u w:val="none"/>
                <w:lang w:val="en-US" w:eastAsia="zh-CN" w:bidi="ar"/>
              </w:rPr>
              <w:t>张以上</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广东医科大学新校区项目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按全日制在校生</w:t>
            </w:r>
            <w:r>
              <w:rPr>
                <w:rFonts w:hint="eastAsia" w:ascii="Times New Roman" w:hAnsi="Times New Roman" w:eastAsia="宋体" w:cs="Times New Roman"/>
                <w:i w:val="0"/>
                <w:color w:val="auto"/>
                <w:kern w:val="0"/>
                <w:sz w:val="24"/>
                <w:szCs w:val="24"/>
                <w:highlight w:val="none"/>
                <w:u w:val="none"/>
                <w:lang w:val="en-US" w:eastAsia="zh-CN" w:bidi="ar"/>
              </w:rPr>
              <w:t>10000</w:t>
            </w:r>
            <w:r>
              <w:rPr>
                <w:rFonts w:hint="default" w:ascii="Times New Roman" w:hAnsi="Times New Roman" w:eastAsia="宋体" w:cs="Times New Roman"/>
                <w:i w:val="0"/>
                <w:color w:val="auto"/>
                <w:kern w:val="0"/>
                <w:sz w:val="24"/>
                <w:szCs w:val="24"/>
                <w:highlight w:val="none"/>
                <w:u w:val="none"/>
                <w:lang w:val="en-US" w:eastAsia="zh-CN" w:bidi="ar"/>
              </w:rPr>
              <w:t>人的规模进行规划，在海东新区规划办学用地</w:t>
            </w:r>
            <w:r>
              <w:rPr>
                <w:rFonts w:hint="eastAsia" w:ascii="Times New Roman" w:hAnsi="Times New Roman" w:eastAsia="宋体" w:cs="Times New Roman"/>
                <w:i w:val="0"/>
                <w:color w:val="auto"/>
                <w:kern w:val="0"/>
                <w:sz w:val="24"/>
                <w:szCs w:val="24"/>
                <w:highlight w:val="none"/>
                <w:u w:val="none"/>
                <w:lang w:val="en-US" w:eastAsia="zh-CN" w:bidi="ar"/>
              </w:rPr>
              <w:t>1000</w:t>
            </w:r>
            <w:r>
              <w:rPr>
                <w:rFonts w:hint="default" w:ascii="Times New Roman" w:hAnsi="Times New Roman" w:eastAsia="宋体" w:cs="Times New Roman"/>
                <w:i w:val="0"/>
                <w:color w:val="auto"/>
                <w:kern w:val="0"/>
                <w:sz w:val="24"/>
                <w:szCs w:val="24"/>
                <w:highlight w:val="none"/>
                <w:u w:val="none"/>
                <w:lang w:val="en-US" w:eastAsia="zh-CN" w:bidi="ar"/>
              </w:rPr>
              <w:t>亩。</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159800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159800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岭南师范学院附属第二中学（湛江市第三十一中学）</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用地面积为</w:t>
            </w:r>
            <w:r>
              <w:rPr>
                <w:rFonts w:hint="eastAsia" w:ascii="Times New Roman" w:hAnsi="Times New Roman" w:eastAsia="宋体" w:cs="Times New Roman"/>
                <w:i w:val="0"/>
                <w:color w:val="auto"/>
                <w:kern w:val="0"/>
                <w:sz w:val="24"/>
                <w:szCs w:val="24"/>
                <w:highlight w:val="none"/>
                <w:u w:val="none"/>
                <w:lang w:val="en-US" w:eastAsia="zh-CN" w:bidi="ar"/>
              </w:rPr>
              <w:t>47360.75</w:t>
            </w:r>
            <w:r>
              <w:rPr>
                <w:rFonts w:hint="default" w:ascii="Times New Roman" w:hAnsi="Times New Roman" w:eastAsia="宋体" w:cs="Times New Roman"/>
                <w:i w:val="0"/>
                <w:color w:val="auto"/>
                <w:kern w:val="0"/>
                <w:sz w:val="24"/>
                <w:szCs w:val="24"/>
                <w:highlight w:val="none"/>
                <w:u w:val="none"/>
                <w:lang w:val="en-US" w:eastAsia="zh-CN" w:bidi="ar"/>
              </w:rPr>
              <w:t>平方米，项目建设内容包括教学楼、综合楼、食堂、教学研究制作楼及架空车库、垃圾站、电房、校门、钟楼、连廊及校区室外配套设施、运动场等，总建筑面积</w:t>
            </w:r>
            <w:r>
              <w:rPr>
                <w:rFonts w:hint="eastAsia" w:ascii="Times New Roman" w:hAnsi="Times New Roman" w:eastAsia="宋体" w:cs="Times New Roman"/>
                <w:i w:val="0"/>
                <w:color w:val="auto"/>
                <w:kern w:val="0"/>
                <w:sz w:val="24"/>
                <w:szCs w:val="24"/>
                <w:highlight w:val="none"/>
                <w:u w:val="none"/>
                <w:lang w:val="en-US" w:eastAsia="zh-CN" w:bidi="ar"/>
              </w:rPr>
              <w:t>52191.95</w:t>
            </w:r>
            <w:r>
              <w:rPr>
                <w:rFonts w:hint="default" w:ascii="Times New Roman" w:hAnsi="Times New Roman" w:eastAsia="宋体" w:cs="Times New Roman"/>
                <w:i w:val="0"/>
                <w:color w:val="auto"/>
                <w:kern w:val="0"/>
                <w:sz w:val="24"/>
                <w:szCs w:val="24"/>
                <w:highlight w:val="none"/>
                <w:u w:val="none"/>
                <w:lang w:val="en-US" w:eastAsia="zh-CN" w:bidi="ar"/>
              </w:rPr>
              <w:t>平方米。按</w:t>
            </w:r>
            <w:r>
              <w:rPr>
                <w:rFonts w:hint="eastAsia" w:ascii="Times New Roman" w:hAnsi="Times New Roman" w:eastAsia="宋体" w:cs="Times New Roman"/>
                <w:i w:val="0"/>
                <w:color w:val="auto"/>
                <w:kern w:val="0"/>
                <w:sz w:val="24"/>
                <w:szCs w:val="24"/>
                <w:highlight w:val="none"/>
                <w:u w:val="none"/>
                <w:lang w:val="en-US" w:eastAsia="zh-CN" w:bidi="ar"/>
              </w:rPr>
              <w:t>54</w:t>
            </w:r>
            <w:r>
              <w:rPr>
                <w:rFonts w:hint="default" w:ascii="Times New Roman" w:hAnsi="Times New Roman" w:eastAsia="宋体" w:cs="Times New Roman"/>
                <w:i w:val="0"/>
                <w:color w:val="auto"/>
                <w:kern w:val="0"/>
                <w:sz w:val="24"/>
                <w:szCs w:val="24"/>
                <w:highlight w:val="none"/>
                <w:u w:val="none"/>
                <w:lang w:val="en-US" w:eastAsia="zh-CN" w:bidi="ar"/>
              </w:rPr>
              <w:t>个班设置，中小学位共</w:t>
            </w:r>
            <w:r>
              <w:rPr>
                <w:rFonts w:hint="eastAsia" w:ascii="Times New Roman" w:hAnsi="Times New Roman" w:eastAsia="宋体" w:cs="Times New Roman"/>
                <w:i w:val="0"/>
                <w:color w:val="auto"/>
                <w:kern w:val="0"/>
                <w:sz w:val="24"/>
                <w:szCs w:val="24"/>
                <w:highlight w:val="none"/>
                <w:u w:val="none"/>
                <w:lang w:val="en-US" w:eastAsia="zh-CN" w:bidi="ar"/>
              </w:rPr>
              <w:t>2550</w:t>
            </w:r>
            <w:r>
              <w:rPr>
                <w:rFonts w:hint="default" w:ascii="Times New Roman" w:hAnsi="Times New Roman" w:eastAsia="宋体" w:cs="Times New Roman"/>
                <w:i w:val="0"/>
                <w:color w:val="auto"/>
                <w:kern w:val="0"/>
                <w:sz w:val="24"/>
                <w:szCs w:val="24"/>
                <w:highlight w:val="none"/>
                <w:u w:val="none"/>
                <w:lang w:val="en-US" w:eastAsia="zh-CN" w:bidi="ar"/>
              </w:rPr>
              <w:t>个</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25002.00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25002.00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湛江市第一中学新校区</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建设教学楼、学生宿舍楼、饭堂、礼堂、体育馆、运动场、艺术楼等设施。</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81570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81570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坡头镇第二小学建设项目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幢</w:t>
            </w:r>
            <w:r>
              <w:rPr>
                <w:rFonts w:hint="eastAsia" w:ascii="Times New Roman" w:hAnsi="Times New Roman" w:eastAsia="宋体" w:cs="Times New Roman"/>
                <w:i w:val="0"/>
                <w:color w:val="auto"/>
                <w:kern w:val="0"/>
                <w:sz w:val="24"/>
                <w:szCs w:val="24"/>
                <w:highlight w:val="none"/>
                <w:u w:val="none"/>
                <w:lang w:val="en-US" w:eastAsia="zh-CN" w:bidi="ar"/>
              </w:rPr>
              <w:t>6</w:t>
            </w:r>
            <w:r>
              <w:rPr>
                <w:rFonts w:hint="default" w:ascii="Times New Roman" w:hAnsi="Times New Roman" w:eastAsia="宋体" w:cs="Times New Roman"/>
                <w:i w:val="0"/>
                <w:color w:val="auto"/>
                <w:kern w:val="0"/>
                <w:sz w:val="24"/>
                <w:szCs w:val="24"/>
                <w:highlight w:val="none"/>
                <w:u w:val="none"/>
                <w:lang w:val="en-US" w:eastAsia="zh-CN" w:bidi="ar"/>
              </w:rPr>
              <w:t>层综合教学楼，设置教学用房、辅助用房及设备用房等，并配套教学设备设施，道路、综合管线等室外工程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PT36</w:t>
            </w:r>
            <w:r>
              <w:rPr>
                <w:rFonts w:hint="default" w:ascii="Times New Roman" w:hAnsi="Times New Roman" w:eastAsia="宋体" w:cs="Times New Roman"/>
                <w:i w:val="0"/>
                <w:color w:val="auto"/>
                <w:kern w:val="0"/>
                <w:sz w:val="24"/>
                <w:szCs w:val="24"/>
                <w:highlight w:val="none"/>
                <w:u w:val="none"/>
                <w:lang w:val="en-US" w:eastAsia="zh-CN" w:bidi="ar"/>
              </w:rPr>
              <w:t>土地新建九年一贯制学校（校名待定）</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新建教学楼、运动场等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新建幸福路小学（校名待定）</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新建教学楼、运动场等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12000.00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w:t>
            </w:r>
            <w:r>
              <w:rPr>
                <w:rFonts w:hint="default" w:ascii="Times New Roman" w:hAnsi="Times New Roman" w:eastAsia="宋体" w:cs="Times New Roman"/>
                <w:i w:val="0"/>
                <w:color w:val="auto"/>
                <w:kern w:val="0"/>
                <w:sz w:val="24"/>
                <w:szCs w:val="24"/>
                <w:highlight w:val="none"/>
                <w:u w:val="none"/>
                <w:lang w:val="en-US" w:eastAsia="zh-CN" w:bidi="ar"/>
              </w:rPr>
              <w:t>个镇（街）新建一所标准化公办幼儿园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教学楼、运动场、设备设施等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35000.00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南调片区城区学位建设项目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本项目含南调小学重建工程（总投资约</w:t>
            </w:r>
            <w:r>
              <w:rPr>
                <w:rFonts w:hint="eastAsia" w:ascii="Times New Roman" w:hAnsi="Times New Roman" w:eastAsia="宋体" w:cs="Times New Roman"/>
                <w:i w:val="0"/>
                <w:color w:val="auto"/>
                <w:kern w:val="0"/>
                <w:sz w:val="24"/>
                <w:szCs w:val="24"/>
                <w:highlight w:val="none"/>
                <w:u w:val="none"/>
                <w:lang w:val="en-US" w:eastAsia="zh-CN" w:bidi="ar"/>
              </w:rPr>
              <w:t>3900</w:t>
            </w:r>
            <w:r>
              <w:rPr>
                <w:rFonts w:hint="default" w:ascii="Times New Roman" w:hAnsi="Times New Roman" w:eastAsia="宋体" w:cs="Times New Roman"/>
                <w:i w:val="0"/>
                <w:color w:val="auto"/>
                <w:kern w:val="0"/>
                <w:sz w:val="24"/>
                <w:szCs w:val="24"/>
                <w:highlight w:val="none"/>
                <w:u w:val="none"/>
                <w:lang w:val="en-US" w:eastAsia="zh-CN" w:bidi="ar"/>
              </w:rPr>
              <w:t>万元）；南调中学综合教学楼新建工程（总投资约</w:t>
            </w:r>
            <w:r>
              <w:rPr>
                <w:rFonts w:hint="eastAsia" w:ascii="Times New Roman" w:hAnsi="Times New Roman" w:eastAsia="宋体" w:cs="Times New Roman"/>
                <w:i w:val="0"/>
                <w:color w:val="auto"/>
                <w:kern w:val="0"/>
                <w:sz w:val="24"/>
                <w:szCs w:val="24"/>
                <w:highlight w:val="none"/>
                <w:u w:val="none"/>
                <w:lang w:val="en-US" w:eastAsia="zh-CN" w:bidi="ar"/>
              </w:rPr>
              <w:t>1670</w:t>
            </w:r>
            <w:r>
              <w:rPr>
                <w:rFonts w:hint="default" w:ascii="Times New Roman" w:hAnsi="Times New Roman" w:eastAsia="宋体" w:cs="Times New Roman"/>
                <w:i w:val="0"/>
                <w:color w:val="auto"/>
                <w:kern w:val="0"/>
                <w:sz w:val="24"/>
                <w:szCs w:val="24"/>
                <w:highlight w:val="none"/>
                <w:u w:val="none"/>
                <w:lang w:val="en-US" w:eastAsia="zh-CN" w:bidi="ar"/>
              </w:rPr>
              <w:t>万元）。</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5570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410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4550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119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湛江市二中海东中学教学综合楼和体艺馆建设项目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拟建一栋教学综合楼(含教学、实验、办公为一体)，一栋体艺馆（包括室内篮球馆、室内游泳池、学生社团活动室、音乐厅），地下车库（包括非机动车库和机动车库），门卫，垃圾房。</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19240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19240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广东医科大学附属医院海东院区新增传染楼</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建筑面积为</w:t>
            </w:r>
            <w:r>
              <w:rPr>
                <w:rFonts w:hint="eastAsia" w:ascii="Times New Roman" w:hAnsi="Times New Roman" w:eastAsia="宋体" w:cs="Times New Roman"/>
                <w:i w:val="0"/>
                <w:color w:val="auto"/>
                <w:kern w:val="0"/>
                <w:sz w:val="24"/>
                <w:szCs w:val="24"/>
                <w:highlight w:val="none"/>
                <w:u w:val="none"/>
                <w:lang w:val="en-US" w:eastAsia="zh-CN" w:bidi="ar"/>
              </w:rPr>
              <w:t>16500</w:t>
            </w:r>
            <w:r>
              <w:rPr>
                <w:rFonts w:hint="default" w:ascii="Times New Roman" w:hAnsi="Times New Roman" w:eastAsia="宋体" w:cs="Times New Roman"/>
                <w:i w:val="0"/>
                <w:color w:val="auto"/>
                <w:kern w:val="0"/>
                <w:sz w:val="24"/>
                <w:szCs w:val="24"/>
                <w:highlight w:val="none"/>
                <w:u w:val="none"/>
                <w:lang w:val="en-US" w:eastAsia="zh-CN" w:bidi="ar"/>
              </w:rPr>
              <w:t>平方米，其中地下建筑面积为</w:t>
            </w:r>
            <w:r>
              <w:rPr>
                <w:rFonts w:hint="eastAsia" w:ascii="Times New Roman" w:hAnsi="Times New Roman" w:eastAsia="宋体" w:cs="Times New Roman"/>
                <w:i w:val="0"/>
                <w:color w:val="auto"/>
                <w:kern w:val="0"/>
                <w:sz w:val="24"/>
                <w:szCs w:val="24"/>
                <w:highlight w:val="none"/>
                <w:u w:val="none"/>
                <w:lang w:val="en-US" w:eastAsia="zh-CN" w:bidi="ar"/>
              </w:rPr>
              <w:t>3300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层），地上建筑面积为</w:t>
            </w:r>
            <w:r>
              <w:rPr>
                <w:rFonts w:hint="eastAsia" w:ascii="Times New Roman" w:hAnsi="Times New Roman" w:eastAsia="宋体" w:cs="Times New Roman"/>
                <w:i w:val="0"/>
                <w:color w:val="auto"/>
                <w:kern w:val="0"/>
                <w:sz w:val="24"/>
                <w:szCs w:val="24"/>
                <w:highlight w:val="none"/>
                <w:u w:val="none"/>
                <w:lang w:val="en-US" w:eastAsia="zh-CN" w:bidi="ar"/>
              </w:rPr>
              <w:t>13200</w:t>
            </w:r>
            <w:r>
              <w:rPr>
                <w:rFonts w:hint="default" w:ascii="Times New Roman" w:hAnsi="Times New Roman" w:eastAsia="宋体" w:cs="Times New Roman"/>
                <w:i w:val="0"/>
                <w:color w:val="auto"/>
                <w:kern w:val="0"/>
                <w:sz w:val="24"/>
                <w:szCs w:val="24"/>
                <w:highlight w:val="none"/>
                <w:u w:val="none"/>
                <w:lang w:val="en-US" w:eastAsia="zh-CN" w:bidi="ar"/>
              </w:rPr>
              <w:t>平方米（</w:t>
            </w:r>
            <w:r>
              <w:rPr>
                <w:rFonts w:hint="eastAsia" w:ascii="Times New Roman" w:hAnsi="Times New Roman" w:eastAsia="宋体" w:cs="Times New Roman"/>
                <w:i w:val="0"/>
                <w:color w:val="auto"/>
                <w:kern w:val="0"/>
                <w:sz w:val="24"/>
                <w:szCs w:val="24"/>
                <w:highlight w:val="none"/>
                <w:u w:val="none"/>
                <w:lang w:val="en-US" w:eastAsia="zh-CN" w:bidi="ar"/>
              </w:rPr>
              <w:t>8</w:t>
            </w:r>
            <w:r>
              <w:rPr>
                <w:rFonts w:hint="default" w:ascii="Times New Roman" w:hAnsi="Times New Roman" w:eastAsia="宋体" w:cs="Times New Roman"/>
                <w:i w:val="0"/>
                <w:color w:val="auto"/>
                <w:kern w:val="0"/>
                <w:sz w:val="24"/>
                <w:szCs w:val="24"/>
                <w:highlight w:val="none"/>
                <w:u w:val="none"/>
                <w:lang w:val="en-US" w:eastAsia="zh-CN" w:bidi="ar"/>
              </w:rPr>
              <w:t>层），包括：门诊、医技、住院、重症监护。</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11500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11500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湛江市坡头区妇幼保健院升级建设（异地搬迁新建）项目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项目用地面积</w:t>
            </w:r>
            <w:r>
              <w:rPr>
                <w:rFonts w:hint="eastAsia" w:ascii="Times New Roman" w:hAnsi="Times New Roman" w:eastAsia="宋体" w:cs="Times New Roman"/>
                <w:i w:val="0"/>
                <w:color w:val="auto"/>
                <w:kern w:val="0"/>
                <w:sz w:val="24"/>
                <w:szCs w:val="24"/>
                <w:highlight w:val="none"/>
                <w:u w:val="none"/>
                <w:lang w:val="en-US" w:eastAsia="zh-CN" w:bidi="ar"/>
              </w:rPr>
              <w:t>17332.84</w:t>
            </w:r>
            <w:r>
              <w:rPr>
                <w:rFonts w:hint="default" w:ascii="Times New Roman" w:hAnsi="Times New Roman" w:eastAsia="宋体" w:cs="Times New Roman"/>
                <w:i w:val="0"/>
                <w:color w:val="auto"/>
                <w:kern w:val="0"/>
                <w:sz w:val="24"/>
                <w:szCs w:val="24"/>
                <w:highlight w:val="none"/>
                <w:u w:val="none"/>
                <w:lang w:val="en-US" w:eastAsia="zh-CN" w:bidi="ar"/>
              </w:rPr>
              <w:t>平方米,规划建设门急诊楼、住院楼、医技楼。门急诊楼面积</w:t>
            </w:r>
            <w:r>
              <w:rPr>
                <w:rFonts w:hint="eastAsia" w:ascii="Times New Roman" w:hAnsi="Times New Roman" w:eastAsia="宋体" w:cs="Times New Roman"/>
                <w:i w:val="0"/>
                <w:color w:val="auto"/>
                <w:kern w:val="0"/>
                <w:sz w:val="24"/>
                <w:szCs w:val="24"/>
                <w:highlight w:val="none"/>
                <w:u w:val="none"/>
                <w:lang w:val="en-US" w:eastAsia="zh-CN" w:bidi="ar"/>
              </w:rPr>
              <w:t>4000</w:t>
            </w:r>
            <w:r>
              <w:rPr>
                <w:rFonts w:hint="default" w:ascii="Times New Roman" w:hAnsi="Times New Roman" w:eastAsia="宋体" w:cs="Times New Roman"/>
                <w:i w:val="0"/>
                <w:color w:val="auto"/>
                <w:kern w:val="0"/>
                <w:sz w:val="24"/>
                <w:szCs w:val="24"/>
                <w:highlight w:val="none"/>
                <w:u w:val="none"/>
                <w:lang w:val="en-US" w:eastAsia="zh-CN" w:bidi="ar"/>
              </w:rPr>
              <w:t>平方米，主要为门诊和急诊功能区；住院楼面积</w:t>
            </w:r>
            <w:r>
              <w:rPr>
                <w:rFonts w:hint="eastAsia" w:ascii="Times New Roman" w:hAnsi="Times New Roman" w:eastAsia="宋体" w:cs="Times New Roman"/>
                <w:i w:val="0"/>
                <w:color w:val="auto"/>
                <w:kern w:val="0"/>
                <w:sz w:val="24"/>
                <w:szCs w:val="24"/>
                <w:highlight w:val="none"/>
                <w:u w:val="none"/>
                <w:lang w:val="en-US" w:eastAsia="zh-CN" w:bidi="ar"/>
              </w:rPr>
              <w:t>5500</w:t>
            </w:r>
            <w:r>
              <w:rPr>
                <w:rFonts w:hint="default" w:ascii="Times New Roman" w:hAnsi="Times New Roman" w:eastAsia="宋体" w:cs="Times New Roman"/>
                <w:i w:val="0"/>
                <w:color w:val="auto"/>
                <w:kern w:val="0"/>
                <w:sz w:val="24"/>
                <w:szCs w:val="24"/>
                <w:highlight w:val="none"/>
                <w:u w:val="none"/>
                <w:lang w:val="en-US" w:eastAsia="zh-CN" w:bidi="ar"/>
              </w:rPr>
              <w:t>平方米，包含儿科、妇科、产科、手术室等；医技楼面积</w:t>
            </w:r>
            <w:r>
              <w:rPr>
                <w:rFonts w:hint="eastAsia" w:ascii="Times New Roman" w:hAnsi="Times New Roman" w:eastAsia="宋体" w:cs="Times New Roman"/>
                <w:i w:val="0"/>
                <w:color w:val="auto"/>
                <w:kern w:val="0"/>
                <w:sz w:val="24"/>
                <w:szCs w:val="24"/>
                <w:highlight w:val="none"/>
                <w:u w:val="none"/>
                <w:lang w:val="en-US" w:eastAsia="zh-CN" w:bidi="ar"/>
              </w:rPr>
              <w:t>5500</w:t>
            </w:r>
            <w:r>
              <w:rPr>
                <w:rFonts w:hint="default" w:ascii="Times New Roman" w:hAnsi="Times New Roman" w:eastAsia="宋体" w:cs="Times New Roman"/>
                <w:i w:val="0"/>
                <w:color w:val="auto"/>
                <w:kern w:val="0"/>
                <w:sz w:val="24"/>
                <w:szCs w:val="24"/>
                <w:highlight w:val="none"/>
                <w:u w:val="none"/>
                <w:lang w:val="en-US" w:eastAsia="zh-CN" w:bidi="ar"/>
              </w:rPr>
              <w:t>平方米，包含妇幼保健、行政后勤等。项目地上面积</w:t>
            </w:r>
            <w:r>
              <w:rPr>
                <w:rFonts w:hint="eastAsia" w:ascii="Times New Roman" w:hAnsi="Times New Roman" w:eastAsia="宋体" w:cs="Times New Roman"/>
                <w:i w:val="0"/>
                <w:color w:val="auto"/>
                <w:kern w:val="0"/>
                <w:sz w:val="24"/>
                <w:szCs w:val="24"/>
                <w:highlight w:val="none"/>
                <w:u w:val="none"/>
                <w:lang w:val="en-US" w:eastAsia="zh-CN" w:bidi="ar"/>
              </w:rPr>
              <w:t>15000</w:t>
            </w:r>
            <w:r>
              <w:rPr>
                <w:rFonts w:hint="default" w:ascii="Times New Roman" w:hAnsi="Times New Roman" w:eastAsia="宋体" w:cs="Times New Roman"/>
                <w:i w:val="0"/>
                <w:color w:val="auto"/>
                <w:kern w:val="0"/>
                <w:sz w:val="24"/>
                <w:szCs w:val="24"/>
                <w:highlight w:val="none"/>
                <w:u w:val="none"/>
                <w:lang w:val="en-US" w:eastAsia="zh-CN" w:bidi="ar"/>
              </w:rPr>
              <w:t>平方米，地下室</w:t>
            </w:r>
            <w:r>
              <w:rPr>
                <w:rFonts w:hint="eastAsia" w:ascii="Times New Roman" w:hAnsi="Times New Roman" w:eastAsia="宋体" w:cs="Times New Roman"/>
                <w:i w:val="0"/>
                <w:color w:val="auto"/>
                <w:kern w:val="0"/>
                <w:sz w:val="24"/>
                <w:szCs w:val="24"/>
                <w:highlight w:val="none"/>
                <w:u w:val="none"/>
                <w:lang w:val="en-US" w:eastAsia="zh-CN" w:bidi="ar"/>
              </w:rPr>
              <w:t>6500</w:t>
            </w:r>
            <w:r>
              <w:rPr>
                <w:rFonts w:hint="default" w:ascii="Times New Roman" w:hAnsi="Times New Roman" w:eastAsia="宋体" w:cs="Times New Roman"/>
                <w:i w:val="0"/>
                <w:color w:val="auto"/>
                <w:kern w:val="0"/>
                <w:sz w:val="24"/>
                <w:szCs w:val="24"/>
                <w:highlight w:val="none"/>
                <w:u w:val="none"/>
                <w:lang w:val="en-US" w:eastAsia="zh-CN" w:bidi="ar"/>
              </w:rPr>
              <w:t>平方米，总计</w:t>
            </w:r>
            <w:r>
              <w:rPr>
                <w:rFonts w:hint="eastAsia" w:ascii="Times New Roman" w:hAnsi="Times New Roman" w:eastAsia="宋体" w:cs="Times New Roman"/>
                <w:i w:val="0"/>
                <w:color w:val="auto"/>
                <w:kern w:val="0"/>
                <w:sz w:val="24"/>
                <w:szCs w:val="24"/>
                <w:highlight w:val="none"/>
                <w:u w:val="none"/>
                <w:lang w:val="en-US" w:eastAsia="zh-CN" w:bidi="ar"/>
              </w:rPr>
              <w:t>21500</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3837</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9163.00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广东医科大学附属医院海东院区</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规划总床位数</w:t>
            </w:r>
            <w:r>
              <w:rPr>
                <w:rFonts w:hint="eastAsia" w:ascii="Times New Roman" w:hAnsi="Times New Roman" w:eastAsia="宋体" w:cs="Times New Roman"/>
                <w:i w:val="0"/>
                <w:color w:val="auto"/>
                <w:kern w:val="0"/>
                <w:sz w:val="24"/>
                <w:szCs w:val="24"/>
                <w:highlight w:val="none"/>
                <w:u w:val="none"/>
                <w:lang w:val="en-US" w:eastAsia="zh-CN" w:bidi="ar"/>
              </w:rPr>
              <w:t>2500</w:t>
            </w:r>
            <w:r>
              <w:rPr>
                <w:rFonts w:hint="default" w:ascii="Times New Roman" w:hAnsi="Times New Roman" w:eastAsia="宋体" w:cs="Times New Roman"/>
                <w:i w:val="0"/>
                <w:color w:val="auto"/>
                <w:kern w:val="0"/>
                <w:sz w:val="24"/>
                <w:szCs w:val="24"/>
                <w:highlight w:val="none"/>
                <w:u w:val="none"/>
                <w:lang w:val="en-US" w:eastAsia="zh-CN" w:bidi="ar"/>
              </w:rPr>
              <w:t>床。项目分一期、二期和远期工程实施。目前，一期项目设计床位数为</w:t>
            </w:r>
            <w:r>
              <w:rPr>
                <w:rFonts w:hint="eastAsia" w:ascii="Times New Roman" w:hAnsi="Times New Roman" w:eastAsia="宋体" w:cs="Times New Roman"/>
                <w:i w:val="0"/>
                <w:color w:val="auto"/>
                <w:kern w:val="0"/>
                <w:sz w:val="24"/>
                <w:szCs w:val="24"/>
                <w:highlight w:val="none"/>
                <w:u w:val="none"/>
                <w:lang w:val="en-US" w:eastAsia="zh-CN" w:bidi="ar"/>
              </w:rPr>
              <w:t>950</w:t>
            </w:r>
            <w:r>
              <w:rPr>
                <w:rFonts w:hint="default" w:ascii="Times New Roman" w:hAnsi="Times New Roman" w:eastAsia="宋体" w:cs="Times New Roman"/>
                <w:i w:val="0"/>
                <w:color w:val="auto"/>
                <w:kern w:val="0"/>
                <w:sz w:val="24"/>
                <w:szCs w:val="24"/>
                <w:highlight w:val="none"/>
                <w:u w:val="none"/>
                <w:lang w:val="en-US" w:eastAsia="zh-CN" w:bidi="ar"/>
              </w:rPr>
              <w:t>床，一期工程预计投资约</w:t>
            </w:r>
            <w:r>
              <w:rPr>
                <w:rFonts w:hint="eastAsia" w:ascii="Times New Roman" w:hAnsi="Times New Roman" w:eastAsia="宋体" w:cs="Times New Roman"/>
                <w:i w:val="0"/>
                <w:color w:val="auto"/>
                <w:kern w:val="0"/>
                <w:sz w:val="24"/>
                <w:szCs w:val="24"/>
                <w:highlight w:val="none"/>
                <w:u w:val="none"/>
                <w:lang w:val="en-US" w:eastAsia="zh-CN" w:bidi="ar"/>
              </w:rPr>
              <w:t>11.36</w:t>
            </w:r>
            <w:r>
              <w:rPr>
                <w:rFonts w:hint="default" w:ascii="Times New Roman" w:hAnsi="Times New Roman" w:eastAsia="宋体" w:cs="Times New Roman"/>
                <w:i w:val="0"/>
                <w:color w:val="auto"/>
                <w:kern w:val="0"/>
                <w:sz w:val="24"/>
                <w:szCs w:val="24"/>
                <w:highlight w:val="none"/>
                <w:u w:val="none"/>
                <w:lang w:val="en-US" w:eastAsia="zh-CN" w:bidi="ar"/>
              </w:rPr>
              <w:t>亿元人民币，建筑面积</w:t>
            </w:r>
            <w:r>
              <w:rPr>
                <w:rFonts w:hint="eastAsia" w:ascii="Times New Roman" w:hAnsi="Times New Roman" w:eastAsia="宋体" w:cs="Times New Roman"/>
                <w:i w:val="0"/>
                <w:color w:val="auto"/>
                <w:kern w:val="0"/>
                <w:sz w:val="24"/>
                <w:szCs w:val="24"/>
                <w:highlight w:val="none"/>
                <w:u w:val="none"/>
                <w:lang w:val="en-US" w:eastAsia="zh-CN" w:bidi="ar"/>
              </w:rPr>
              <w:t>16.49</w:t>
            </w:r>
            <w:r>
              <w:rPr>
                <w:rFonts w:hint="default" w:ascii="Times New Roman" w:hAnsi="Times New Roman" w:eastAsia="宋体" w:cs="Times New Roman"/>
                <w:i w:val="0"/>
                <w:color w:val="auto"/>
                <w:kern w:val="0"/>
                <w:sz w:val="24"/>
                <w:szCs w:val="24"/>
                <w:highlight w:val="none"/>
                <w:u w:val="none"/>
                <w:lang w:val="en-US" w:eastAsia="zh-CN" w:bidi="ar"/>
              </w:rPr>
              <w:t>万平方米，其中地上总建筑面积</w:t>
            </w:r>
            <w:r>
              <w:rPr>
                <w:rFonts w:hint="eastAsia" w:ascii="Times New Roman" w:hAnsi="Times New Roman" w:eastAsia="宋体" w:cs="Times New Roman"/>
                <w:i w:val="0"/>
                <w:color w:val="auto"/>
                <w:kern w:val="0"/>
                <w:sz w:val="24"/>
                <w:szCs w:val="24"/>
                <w:highlight w:val="none"/>
                <w:u w:val="none"/>
                <w:lang w:val="en-US" w:eastAsia="zh-CN" w:bidi="ar"/>
              </w:rPr>
              <w:t>11.24</w:t>
            </w:r>
            <w:r>
              <w:rPr>
                <w:rFonts w:hint="default" w:ascii="Times New Roman" w:hAnsi="Times New Roman" w:eastAsia="宋体" w:cs="Times New Roman"/>
                <w:i w:val="0"/>
                <w:color w:val="auto"/>
                <w:kern w:val="0"/>
                <w:sz w:val="24"/>
                <w:szCs w:val="24"/>
                <w:highlight w:val="none"/>
                <w:u w:val="none"/>
                <w:lang w:val="en-US" w:eastAsia="zh-CN" w:bidi="ar"/>
              </w:rPr>
              <w:t>万平方米，地下室建筑面积</w:t>
            </w:r>
            <w:r>
              <w:rPr>
                <w:rFonts w:hint="eastAsia" w:ascii="Times New Roman" w:hAnsi="Times New Roman" w:eastAsia="宋体" w:cs="Times New Roman"/>
                <w:i w:val="0"/>
                <w:color w:val="auto"/>
                <w:kern w:val="0"/>
                <w:sz w:val="24"/>
                <w:szCs w:val="24"/>
                <w:highlight w:val="none"/>
                <w:u w:val="none"/>
                <w:lang w:val="en-US" w:eastAsia="zh-CN" w:bidi="ar"/>
              </w:rPr>
              <w:t>5.25</w:t>
            </w:r>
            <w:r>
              <w:rPr>
                <w:rFonts w:hint="default" w:ascii="Times New Roman" w:hAnsi="Times New Roman" w:eastAsia="宋体" w:cs="Times New Roman"/>
                <w:i w:val="0"/>
                <w:color w:val="auto"/>
                <w:kern w:val="0"/>
                <w:sz w:val="24"/>
                <w:szCs w:val="24"/>
                <w:highlight w:val="none"/>
                <w:u w:val="none"/>
                <w:lang w:val="en-US" w:eastAsia="zh-CN" w:bidi="ar"/>
              </w:rPr>
              <w:t>万平方米。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113600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29700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83900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湛江久和医院</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占地</w:t>
            </w:r>
            <w:r>
              <w:rPr>
                <w:rFonts w:hint="eastAsia" w:ascii="Times New Roman" w:hAnsi="Times New Roman" w:eastAsia="宋体" w:cs="Times New Roman"/>
                <w:i w:val="0"/>
                <w:color w:val="auto"/>
                <w:kern w:val="0"/>
                <w:sz w:val="24"/>
                <w:szCs w:val="24"/>
                <w:highlight w:val="none"/>
                <w:u w:val="none"/>
                <w:lang w:val="en-US" w:eastAsia="zh-CN" w:bidi="ar"/>
              </w:rPr>
              <w:t>36</w:t>
            </w:r>
            <w:r>
              <w:rPr>
                <w:rFonts w:hint="default" w:ascii="Times New Roman" w:hAnsi="Times New Roman" w:eastAsia="宋体" w:cs="Times New Roman"/>
                <w:i w:val="0"/>
                <w:color w:val="auto"/>
                <w:kern w:val="0"/>
                <w:sz w:val="24"/>
                <w:szCs w:val="24"/>
                <w:highlight w:val="none"/>
                <w:u w:val="none"/>
                <w:lang w:val="en-US" w:eastAsia="zh-CN" w:bidi="ar"/>
              </w:rPr>
              <w:t>亩，建设门诊医技楼行政楼、月子中心、住院楼等。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38000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23094</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14906</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坡头区人民医院综合楼（含眼科中心）建设项目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主体框架结构十三层（地下</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层，地上</w:t>
            </w:r>
            <w:r>
              <w:rPr>
                <w:rFonts w:hint="eastAsia" w:ascii="Times New Roman" w:hAnsi="Times New Roman" w:eastAsia="宋体" w:cs="Times New Roman"/>
                <w:i w:val="0"/>
                <w:color w:val="auto"/>
                <w:kern w:val="0"/>
                <w:sz w:val="24"/>
                <w:szCs w:val="24"/>
                <w:highlight w:val="none"/>
                <w:u w:val="none"/>
                <w:lang w:val="en-US" w:eastAsia="zh-CN" w:bidi="ar"/>
              </w:rPr>
              <w:t>12</w:t>
            </w:r>
            <w:r>
              <w:rPr>
                <w:rFonts w:hint="default" w:ascii="Times New Roman" w:hAnsi="Times New Roman" w:eastAsia="宋体" w:cs="Times New Roman"/>
                <w:i w:val="0"/>
                <w:color w:val="auto"/>
                <w:kern w:val="0"/>
                <w:sz w:val="24"/>
                <w:szCs w:val="24"/>
                <w:highlight w:val="none"/>
                <w:u w:val="none"/>
                <w:lang w:val="en-US" w:eastAsia="zh-CN" w:bidi="ar"/>
              </w:rPr>
              <w:t>层）；占地面积</w:t>
            </w:r>
            <w:r>
              <w:rPr>
                <w:rFonts w:hint="eastAsia" w:ascii="Times New Roman" w:hAnsi="Times New Roman" w:eastAsia="宋体" w:cs="Times New Roman"/>
                <w:i w:val="0"/>
                <w:color w:val="auto"/>
                <w:kern w:val="0"/>
                <w:sz w:val="24"/>
                <w:szCs w:val="24"/>
                <w:highlight w:val="none"/>
                <w:u w:val="none"/>
                <w:lang w:val="en-US" w:eastAsia="zh-CN" w:bidi="ar"/>
              </w:rPr>
              <w:t>518.4</w:t>
            </w:r>
            <w:r>
              <w:rPr>
                <w:rFonts w:hint="default" w:ascii="Times New Roman" w:hAnsi="Times New Roman" w:eastAsia="宋体" w:cs="Times New Roman"/>
                <w:i w:val="0"/>
                <w:color w:val="auto"/>
                <w:kern w:val="0"/>
                <w:sz w:val="24"/>
                <w:szCs w:val="24"/>
                <w:highlight w:val="none"/>
                <w:u w:val="none"/>
                <w:lang w:val="en-US" w:eastAsia="zh-CN" w:bidi="ar"/>
              </w:rPr>
              <w:t>㎡；总建筑面积</w:t>
            </w:r>
            <w:r>
              <w:rPr>
                <w:rFonts w:hint="eastAsia" w:ascii="Times New Roman" w:hAnsi="Times New Roman" w:eastAsia="宋体" w:cs="Times New Roman"/>
                <w:i w:val="0"/>
                <w:color w:val="auto"/>
                <w:kern w:val="0"/>
                <w:sz w:val="24"/>
                <w:szCs w:val="24"/>
                <w:highlight w:val="none"/>
                <w:u w:val="none"/>
                <w:lang w:val="en-US" w:eastAsia="zh-CN" w:bidi="ar"/>
              </w:rPr>
              <w:t>6600</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8002.65</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8002.65</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坡头区龙头镇中心卫生院门诊住院综合大楼</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层</w:t>
            </w:r>
            <w:r>
              <w:rPr>
                <w:rFonts w:hint="eastAsia" w:ascii="Times New Roman" w:hAnsi="Times New Roman" w:eastAsia="宋体" w:cs="Times New Roman"/>
                <w:i w:val="0"/>
                <w:color w:val="auto"/>
                <w:kern w:val="0"/>
                <w:sz w:val="24"/>
                <w:szCs w:val="24"/>
                <w:highlight w:val="none"/>
                <w:u w:val="none"/>
                <w:lang w:val="en-US" w:eastAsia="zh-CN" w:bidi="ar"/>
              </w:rPr>
              <w:t>8000</w:t>
            </w:r>
            <w:r>
              <w:rPr>
                <w:rFonts w:hint="default" w:ascii="Times New Roman" w:hAnsi="Times New Roman" w:eastAsia="宋体" w:cs="Times New Roman"/>
                <w:i w:val="0"/>
                <w:color w:val="auto"/>
                <w:kern w:val="0"/>
                <w:sz w:val="24"/>
                <w:szCs w:val="24"/>
                <w:highlight w:val="none"/>
                <w:u w:val="none"/>
                <w:lang w:val="en-US" w:eastAsia="zh-CN" w:bidi="ar"/>
              </w:rPr>
              <w:t>平方米（包括底下停车场）</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公共设施平战两用改造（方舱医院）项目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计划选址在坡头海东新区湛江奥体中心和湛江市体育中心，总用地面积为664.51亩，总建筑面积18.47万㎡。预定的建设模块：由医疗方舱、技术保障方舱、病房单元、生活保障单元及运力等为主要组成，依托成套的装备保障完成伤病员救治等任务，能迅速达到救治规划床位500张。</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2022-2023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七</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文化旅游体育项目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w:t>
            </w:r>
            <w:r>
              <w:rPr>
                <w:rFonts w:hint="eastAsia" w:ascii="Times New Roman" w:hAnsi="Times New Roman" w:eastAsia="宋体" w:cs="Times New Roman"/>
                <w:b/>
                <w:bCs/>
                <w:i w:val="0"/>
                <w:color w:val="auto"/>
                <w:kern w:val="0"/>
                <w:sz w:val="24"/>
                <w:szCs w:val="24"/>
                <w:highlight w:val="none"/>
                <w:u w:val="none"/>
                <w:lang w:val="en-US" w:eastAsia="zh-CN" w:bidi="ar"/>
              </w:rPr>
              <w:t>6</w:t>
            </w:r>
            <w:r>
              <w:rPr>
                <w:rFonts w:hint="default" w:ascii="Times New Roman" w:hAnsi="Times New Roman"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坡头区文化活动中心（文化馆、图书馆、博物馆“三馆合一”）</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建设用地面积</w:t>
            </w:r>
            <w:r>
              <w:rPr>
                <w:rFonts w:hint="eastAsia" w:ascii="Times New Roman" w:hAnsi="Times New Roman" w:eastAsia="宋体" w:cs="Times New Roman"/>
                <w:i w:val="0"/>
                <w:color w:val="auto"/>
                <w:kern w:val="0"/>
                <w:sz w:val="24"/>
                <w:szCs w:val="24"/>
                <w:highlight w:val="none"/>
                <w:u w:val="none"/>
                <w:lang w:val="en-US" w:eastAsia="zh-CN" w:bidi="ar"/>
              </w:rPr>
              <w:t>20800.4</w:t>
            </w:r>
            <w:r>
              <w:rPr>
                <w:rFonts w:hint="default" w:ascii="Times New Roman" w:hAnsi="Times New Roman" w:eastAsia="宋体" w:cs="Times New Roman"/>
                <w:i w:val="0"/>
                <w:color w:val="auto"/>
                <w:kern w:val="0"/>
                <w:sz w:val="24"/>
                <w:szCs w:val="24"/>
                <w:highlight w:val="none"/>
                <w:u w:val="none"/>
                <w:lang w:val="en-US" w:eastAsia="zh-CN" w:bidi="ar"/>
              </w:rPr>
              <w:t>平方米，新建总建筑面积约</w:t>
            </w:r>
            <w:r>
              <w:rPr>
                <w:rFonts w:hint="eastAsia" w:ascii="Times New Roman" w:hAnsi="Times New Roman" w:eastAsia="宋体" w:cs="Times New Roman"/>
                <w:i w:val="0"/>
                <w:color w:val="auto"/>
                <w:kern w:val="0"/>
                <w:sz w:val="24"/>
                <w:szCs w:val="24"/>
                <w:highlight w:val="none"/>
                <w:u w:val="none"/>
                <w:lang w:val="en-US" w:eastAsia="zh-CN" w:bidi="ar"/>
              </w:rPr>
              <w:t>31100</w:t>
            </w:r>
            <w:r>
              <w:rPr>
                <w:rFonts w:hint="default" w:ascii="Times New Roman" w:hAnsi="Times New Roman" w:eastAsia="宋体" w:cs="Times New Roman"/>
                <w:i w:val="0"/>
                <w:color w:val="auto"/>
                <w:kern w:val="0"/>
                <w:sz w:val="24"/>
                <w:szCs w:val="24"/>
                <w:highlight w:val="none"/>
                <w:u w:val="none"/>
                <w:lang w:val="en-US" w:eastAsia="zh-CN" w:bidi="ar"/>
              </w:rPr>
              <w:t>平方米（其中：地下室</w:t>
            </w:r>
            <w:r>
              <w:rPr>
                <w:rFonts w:hint="eastAsia" w:ascii="Times New Roman" w:hAnsi="Times New Roman" w:eastAsia="宋体" w:cs="Times New Roman"/>
                <w:i w:val="0"/>
                <w:color w:val="auto"/>
                <w:kern w:val="0"/>
                <w:sz w:val="24"/>
                <w:szCs w:val="24"/>
                <w:highlight w:val="none"/>
                <w:u w:val="none"/>
                <w:lang w:val="en-US" w:eastAsia="zh-CN" w:bidi="ar"/>
              </w:rPr>
              <w:t>10000</w:t>
            </w:r>
            <w:r>
              <w:rPr>
                <w:rFonts w:hint="default" w:ascii="Times New Roman" w:hAnsi="Times New Roman" w:eastAsia="宋体" w:cs="Times New Roman"/>
                <w:i w:val="0"/>
                <w:color w:val="auto"/>
                <w:kern w:val="0"/>
                <w:sz w:val="24"/>
                <w:szCs w:val="24"/>
                <w:highlight w:val="none"/>
                <w:u w:val="none"/>
                <w:lang w:val="en-US" w:eastAsia="zh-CN" w:bidi="ar"/>
              </w:rPr>
              <w:t>平方米），地上五层，地下一层框架结构；项目建设内容包括：文化馆（</w:t>
            </w:r>
            <w:r>
              <w:rPr>
                <w:rFonts w:hint="eastAsia" w:ascii="Times New Roman" w:hAnsi="Times New Roman" w:eastAsia="宋体" w:cs="Times New Roman"/>
                <w:i w:val="0"/>
                <w:color w:val="auto"/>
                <w:kern w:val="0"/>
                <w:sz w:val="24"/>
                <w:szCs w:val="24"/>
                <w:highlight w:val="none"/>
                <w:u w:val="none"/>
                <w:lang w:val="en-US" w:eastAsia="zh-CN" w:bidi="ar"/>
              </w:rPr>
              <w:t>5000</w:t>
            </w:r>
            <w:r>
              <w:rPr>
                <w:rFonts w:hint="default" w:ascii="Times New Roman" w:hAnsi="Times New Roman" w:eastAsia="宋体" w:cs="Times New Roman"/>
                <w:i w:val="0"/>
                <w:color w:val="auto"/>
                <w:kern w:val="0"/>
                <w:sz w:val="24"/>
                <w:szCs w:val="24"/>
                <w:highlight w:val="none"/>
                <w:u w:val="none"/>
                <w:lang w:val="en-US" w:eastAsia="zh-CN" w:bidi="ar"/>
              </w:rPr>
              <w:t>平方米）、图书馆（</w:t>
            </w:r>
            <w:r>
              <w:rPr>
                <w:rFonts w:hint="eastAsia" w:ascii="Times New Roman" w:hAnsi="Times New Roman" w:eastAsia="宋体" w:cs="Times New Roman"/>
                <w:i w:val="0"/>
                <w:color w:val="auto"/>
                <w:kern w:val="0"/>
                <w:sz w:val="24"/>
                <w:szCs w:val="24"/>
                <w:highlight w:val="none"/>
                <w:u w:val="none"/>
                <w:lang w:val="en-US" w:eastAsia="zh-CN" w:bidi="ar"/>
              </w:rPr>
              <w:t>6000</w:t>
            </w:r>
            <w:r>
              <w:rPr>
                <w:rFonts w:hint="default" w:ascii="Times New Roman" w:hAnsi="Times New Roman" w:eastAsia="宋体" w:cs="Times New Roman"/>
                <w:i w:val="0"/>
                <w:color w:val="auto"/>
                <w:kern w:val="0"/>
                <w:sz w:val="24"/>
                <w:szCs w:val="24"/>
                <w:highlight w:val="none"/>
                <w:u w:val="none"/>
                <w:lang w:val="en-US" w:eastAsia="zh-CN" w:bidi="ar"/>
              </w:rPr>
              <w:t>平方米）、博物馆（</w:t>
            </w:r>
            <w:r>
              <w:rPr>
                <w:rFonts w:hint="eastAsia" w:ascii="Times New Roman" w:hAnsi="Times New Roman" w:eastAsia="宋体" w:cs="Times New Roman"/>
                <w:i w:val="0"/>
                <w:color w:val="auto"/>
                <w:kern w:val="0"/>
                <w:sz w:val="24"/>
                <w:szCs w:val="24"/>
                <w:highlight w:val="none"/>
                <w:u w:val="none"/>
                <w:lang w:val="en-US" w:eastAsia="zh-CN" w:bidi="ar"/>
              </w:rPr>
              <w:t>5000</w:t>
            </w:r>
            <w:r>
              <w:rPr>
                <w:rFonts w:hint="default" w:ascii="Times New Roman" w:hAnsi="Times New Roman" w:eastAsia="宋体" w:cs="Times New Roman"/>
                <w:i w:val="0"/>
                <w:color w:val="auto"/>
                <w:kern w:val="0"/>
                <w:sz w:val="24"/>
                <w:szCs w:val="24"/>
                <w:highlight w:val="none"/>
                <w:u w:val="none"/>
                <w:lang w:val="en-US" w:eastAsia="zh-CN" w:bidi="ar"/>
              </w:rPr>
              <w:t>平方米）、青少年妇女儿童活动中心（</w:t>
            </w:r>
            <w:r>
              <w:rPr>
                <w:rFonts w:hint="eastAsia" w:ascii="Times New Roman" w:hAnsi="Times New Roman" w:eastAsia="宋体" w:cs="Times New Roman"/>
                <w:i w:val="0"/>
                <w:color w:val="auto"/>
                <w:kern w:val="0"/>
                <w:sz w:val="24"/>
                <w:szCs w:val="24"/>
                <w:highlight w:val="none"/>
                <w:u w:val="none"/>
                <w:lang w:val="en-US" w:eastAsia="zh-CN" w:bidi="ar"/>
              </w:rPr>
              <w:t>5000</w:t>
            </w:r>
            <w:r>
              <w:rPr>
                <w:rFonts w:hint="default" w:ascii="Times New Roman" w:hAnsi="Times New Roman" w:eastAsia="宋体" w:cs="Times New Roman"/>
                <w:i w:val="0"/>
                <w:color w:val="auto"/>
                <w:kern w:val="0"/>
                <w:sz w:val="24"/>
                <w:szCs w:val="24"/>
                <w:highlight w:val="none"/>
                <w:u w:val="none"/>
                <w:lang w:val="en-US" w:eastAsia="zh-CN" w:bidi="ar"/>
              </w:rPr>
              <w:t>平方米）以及门卫（</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平方米）、垃圾房（</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平方米）、地下消防水池（</w:t>
            </w:r>
            <w:r>
              <w:rPr>
                <w:rFonts w:hint="eastAsia" w:ascii="Times New Roman" w:hAnsi="Times New Roman" w:eastAsia="宋体" w:cs="Times New Roman"/>
                <w:i w:val="0"/>
                <w:color w:val="auto"/>
                <w:kern w:val="0"/>
                <w:sz w:val="24"/>
                <w:szCs w:val="24"/>
                <w:highlight w:val="none"/>
                <w:u w:val="none"/>
                <w:lang w:val="en-US" w:eastAsia="zh-CN" w:bidi="ar"/>
              </w:rPr>
              <w:t>350</w:t>
            </w:r>
            <w:r>
              <w:rPr>
                <w:rFonts w:hint="default" w:ascii="Times New Roman" w:hAnsi="Times New Roman" w:eastAsia="宋体" w:cs="Times New Roman"/>
                <w:i w:val="0"/>
                <w:color w:val="auto"/>
                <w:kern w:val="0"/>
                <w:sz w:val="24"/>
                <w:szCs w:val="24"/>
                <w:highlight w:val="none"/>
                <w:u w:val="none"/>
                <w:lang w:val="en-US" w:eastAsia="zh-CN" w:bidi="ar"/>
              </w:rPr>
              <w:t>平方米）、及活动中心红线范围内室外配套设施等。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2021</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18727.75</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16437</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2290.75</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湛江官渡森林康养小镇</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规划打造集园林景观展示（园博园）、文化旅游（野生动物园、度假酒店）、森林康养产业为一体的生态旅游项目。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2030</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175.55</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129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南调河商业风情街</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项目位于湛江海东新区南调河畔，沿整条南调河两岸河岸向陆地延伸各</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米的区域,拟沿河而建，规划面积</w:t>
            </w:r>
            <w:r>
              <w:rPr>
                <w:rFonts w:hint="eastAsia" w:ascii="Times New Roman" w:hAnsi="Times New Roman" w:eastAsia="宋体" w:cs="Times New Roman"/>
                <w:i w:val="0"/>
                <w:color w:val="auto"/>
                <w:kern w:val="0"/>
                <w:sz w:val="24"/>
                <w:szCs w:val="24"/>
                <w:highlight w:val="none"/>
                <w:u w:val="none"/>
                <w:lang w:val="en-US" w:eastAsia="zh-CN" w:bidi="ar"/>
              </w:rPr>
              <w:t>520</w:t>
            </w:r>
            <w:r>
              <w:rPr>
                <w:rFonts w:hint="default" w:ascii="Times New Roman" w:hAnsi="Times New Roman" w:eastAsia="宋体" w:cs="Times New Roman"/>
                <w:i w:val="0"/>
                <w:color w:val="auto"/>
                <w:kern w:val="0"/>
                <w:sz w:val="24"/>
                <w:szCs w:val="24"/>
                <w:highlight w:val="none"/>
                <w:u w:val="none"/>
                <w:lang w:val="en-US" w:eastAsia="zh-CN" w:bidi="ar"/>
              </w:rPr>
              <w:t>亩，分三期开发建设，以亚热带滨海风情为主题，体现滨海风光、渔家风情、雷州本土文化和岭南文化，建成集文化旅游、休闲度假、购物娱乐于一体的多元化滨海旅游风情街（河），打造成粤西地区最具品味的休闲旅游示范景点。</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2024</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南三镇运动休闲特色小镇</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用地约</w:t>
            </w:r>
            <w:r>
              <w:rPr>
                <w:rFonts w:hint="eastAsia" w:ascii="Times New Roman" w:hAnsi="Times New Roman" w:eastAsia="宋体"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平方公里，规划在南三镇东北角，已与南三林场达成租地</w:t>
            </w:r>
            <w:r>
              <w:rPr>
                <w:rFonts w:hint="eastAsia" w:ascii="Times New Roman" w:hAnsi="Times New Roman" w:eastAsia="宋体" w:cs="Times New Roman"/>
                <w:i w:val="0"/>
                <w:color w:val="auto"/>
                <w:kern w:val="0"/>
                <w:sz w:val="24"/>
                <w:szCs w:val="24"/>
                <w:highlight w:val="none"/>
                <w:u w:val="none"/>
                <w:lang w:val="en-US" w:eastAsia="zh-CN" w:bidi="ar"/>
              </w:rPr>
              <w:t>1000</w:t>
            </w:r>
            <w:r>
              <w:rPr>
                <w:rFonts w:hint="default" w:ascii="Times New Roman" w:hAnsi="Times New Roman" w:eastAsia="宋体" w:cs="Times New Roman"/>
                <w:i w:val="0"/>
                <w:color w:val="auto"/>
                <w:kern w:val="0"/>
                <w:sz w:val="24"/>
                <w:szCs w:val="24"/>
                <w:highlight w:val="none"/>
                <w:u w:val="none"/>
                <w:lang w:val="en-US" w:eastAsia="zh-CN" w:bidi="ar"/>
              </w:rPr>
              <w:t>亩意向，前期已做好初步规划，另有国家冲浪训练基地选址在其中，国家已拨款</w:t>
            </w:r>
            <w:r>
              <w:rPr>
                <w:rFonts w:hint="eastAsia" w:ascii="Times New Roman" w:hAnsi="Times New Roman" w:eastAsia="宋体" w:cs="Times New Roman"/>
                <w:i w:val="0"/>
                <w:color w:val="auto"/>
                <w:kern w:val="0"/>
                <w:sz w:val="24"/>
                <w:szCs w:val="24"/>
                <w:highlight w:val="none"/>
                <w:u w:val="none"/>
                <w:lang w:val="en-US" w:eastAsia="zh-CN" w:bidi="ar"/>
              </w:rPr>
              <w:t>1000</w:t>
            </w:r>
            <w:r>
              <w:rPr>
                <w:rFonts w:hint="default" w:ascii="Times New Roman" w:hAnsi="Times New Roman" w:eastAsia="宋体" w:cs="Times New Roman"/>
                <w:i w:val="0"/>
                <w:color w:val="auto"/>
                <w:kern w:val="0"/>
                <w:sz w:val="24"/>
                <w:szCs w:val="24"/>
                <w:highlight w:val="none"/>
                <w:u w:val="none"/>
                <w:lang w:val="en-US" w:eastAsia="zh-CN" w:bidi="ar"/>
              </w:rPr>
              <w:t>万到南三区账户，用于冲浪基地建设。</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2028</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600000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南三镇广州湾旅游城</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已完成征地入储</w:t>
            </w:r>
            <w:r>
              <w:rPr>
                <w:rFonts w:hint="eastAsia" w:ascii="Times New Roman" w:hAnsi="Times New Roman" w:eastAsia="宋体" w:cs="Times New Roman"/>
                <w:i w:val="0"/>
                <w:color w:val="auto"/>
                <w:kern w:val="0"/>
                <w:sz w:val="24"/>
                <w:szCs w:val="24"/>
                <w:highlight w:val="none"/>
                <w:u w:val="none"/>
                <w:lang w:val="en-US" w:eastAsia="zh-CN" w:bidi="ar"/>
              </w:rPr>
              <w:t>882</w:t>
            </w:r>
            <w:r>
              <w:rPr>
                <w:rFonts w:hint="default" w:ascii="Times New Roman" w:hAnsi="Times New Roman" w:eastAsia="宋体" w:cs="Times New Roman"/>
                <w:i w:val="0"/>
                <w:color w:val="auto"/>
                <w:kern w:val="0"/>
                <w:sz w:val="24"/>
                <w:szCs w:val="24"/>
                <w:highlight w:val="none"/>
                <w:u w:val="none"/>
                <w:lang w:val="en-US" w:eastAsia="zh-CN" w:bidi="ar"/>
              </w:rPr>
              <w:t>亩，另有</w:t>
            </w:r>
            <w:r>
              <w:rPr>
                <w:rFonts w:hint="eastAsia" w:ascii="Times New Roman" w:hAnsi="Times New Roman" w:eastAsia="宋体" w:cs="Times New Roman"/>
                <w:i w:val="0"/>
                <w:color w:val="auto"/>
                <w:kern w:val="0"/>
                <w:sz w:val="24"/>
                <w:szCs w:val="24"/>
                <w:highlight w:val="none"/>
                <w:u w:val="none"/>
                <w:lang w:val="en-US" w:eastAsia="zh-CN" w:bidi="ar"/>
              </w:rPr>
              <w:t>124</w:t>
            </w:r>
            <w:r>
              <w:rPr>
                <w:rFonts w:hint="default" w:ascii="Times New Roman" w:hAnsi="Times New Roman" w:eastAsia="宋体" w:cs="Times New Roman"/>
                <w:i w:val="0"/>
                <w:color w:val="auto"/>
                <w:kern w:val="0"/>
                <w:sz w:val="24"/>
                <w:szCs w:val="24"/>
                <w:highlight w:val="none"/>
                <w:u w:val="none"/>
                <w:lang w:val="en-US" w:eastAsia="zh-CN" w:bidi="ar"/>
              </w:rPr>
              <w:t>亩手续待完善。</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2028</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南三镇湖村湾旅游综合体</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用地</w:t>
            </w:r>
            <w:r>
              <w:rPr>
                <w:rFonts w:hint="eastAsia" w:ascii="Times New Roman" w:hAnsi="Times New Roman" w:eastAsia="宋体" w:cs="Times New Roman"/>
                <w:i w:val="0"/>
                <w:color w:val="auto"/>
                <w:kern w:val="0"/>
                <w:sz w:val="24"/>
                <w:szCs w:val="24"/>
                <w:highlight w:val="none"/>
                <w:u w:val="none"/>
                <w:lang w:val="en-US" w:eastAsia="zh-CN" w:bidi="ar"/>
              </w:rPr>
              <w:t>250</w:t>
            </w:r>
            <w:r>
              <w:rPr>
                <w:rFonts w:hint="default" w:ascii="Times New Roman" w:hAnsi="Times New Roman" w:eastAsia="宋体" w:cs="Times New Roman"/>
                <w:i w:val="0"/>
                <w:color w:val="auto"/>
                <w:kern w:val="0"/>
                <w:sz w:val="24"/>
                <w:szCs w:val="24"/>
                <w:highlight w:val="none"/>
                <w:u w:val="none"/>
                <w:lang w:val="en-US" w:eastAsia="zh-CN" w:bidi="ar"/>
              </w:rPr>
              <w:t>亩，已与四村签订征地协议，还有一村未签订，是南三区与湛江旅游集团合作项目。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2023</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2028</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b/>
                <w:bCs/>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八</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bCs/>
                <w:i w:val="0"/>
                <w:color w:val="auto"/>
                <w:kern w:val="0"/>
                <w:sz w:val="24"/>
                <w:szCs w:val="24"/>
                <w:highlight w:val="none"/>
                <w:u w:val="none"/>
                <w:lang w:val="en-US" w:eastAsia="zh-CN" w:bidi="ar"/>
              </w:rPr>
            </w:pPr>
            <w:r>
              <w:rPr>
                <w:rFonts w:hint="eastAsia" w:eastAsia="宋体" w:cs="Times New Roman"/>
                <w:b/>
                <w:bCs/>
                <w:i w:val="0"/>
                <w:color w:val="auto"/>
                <w:kern w:val="0"/>
                <w:sz w:val="24"/>
                <w:szCs w:val="24"/>
                <w:highlight w:val="none"/>
                <w:u w:val="none"/>
                <w:lang w:val="en-US" w:eastAsia="zh-CN" w:bidi="ar"/>
              </w:rPr>
              <w:t>其他项目（</w:t>
            </w:r>
            <w:r>
              <w:rPr>
                <w:rFonts w:hint="eastAsia" w:ascii="Times New Roman" w:hAnsi="Times New Roman" w:eastAsia="宋体" w:cs="Times New Roman"/>
                <w:b/>
                <w:bCs/>
                <w:i w:val="0"/>
                <w:color w:val="auto"/>
                <w:kern w:val="0"/>
                <w:sz w:val="24"/>
                <w:szCs w:val="24"/>
                <w:highlight w:val="none"/>
                <w:u w:val="none"/>
                <w:lang w:val="en-US" w:eastAsia="zh-CN" w:bidi="ar"/>
              </w:rPr>
              <w:t>18</w:t>
            </w:r>
            <w:r>
              <w:rPr>
                <w:rFonts w:hint="eastAsia" w:eastAsia="宋体" w:cs="Times New Roman"/>
                <w:b/>
                <w:bCs/>
                <w:i w:val="0"/>
                <w:color w:val="auto"/>
                <w:kern w:val="0"/>
                <w:sz w:val="24"/>
                <w:szCs w:val="24"/>
                <w:highlight w:val="none"/>
                <w:u w:val="none"/>
                <w:lang w:val="en-US" w:eastAsia="zh-CN" w:bidi="ar"/>
              </w:rPr>
              <w:t>项）</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南三环岛大堤(南三联围)提升加固工程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加固南三岛现有的联围工程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南三金海岸项目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用地</w:t>
            </w:r>
            <w:r>
              <w:rPr>
                <w:rFonts w:hint="eastAsia" w:ascii="Times New Roman" w:hAnsi="Times New Roman" w:eastAsia="宋体" w:cs="Times New Roman"/>
                <w:i w:val="0"/>
                <w:color w:val="auto"/>
                <w:kern w:val="0"/>
                <w:sz w:val="24"/>
                <w:szCs w:val="24"/>
                <w:highlight w:val="none"/>
                <w:u w:val="none"/>
                <w:lang w:val="en-US" w:eastAsia="zh-CN" w:bidi="ar"/>
              </w:rPr>
              <w:t>900</w:t>
            </w:r>
            <w:r>
              <w:rPr>
                <w:rFonts w:hint="default" w:ascii="Times New Roman" w:hAnsi="Times New Roman" w:eastAsia="宋体" w:cs="Times New Roman"/>
                <w:i w:val="0"/>
                <w:color w:val="auto"/>
                <w:kern w:val="0"/>
                <w:sz w:val="24"/>
                <w:szCs w:val="24"/>
                <w:highlight w:val="none"/>
                <w:u w:val="none"/>
                <w:lang w:val="en-US" w:eastAsia="zh-CN" w:bidi="ar"/>
              </w:rPr>
              <w:t>亩，已取得土地使用证，已完成土地平整</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530000.00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530000.00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南三岛</w:t>
            </w:r>
            <w:r>
              <w:rPr>
                <w:rFonts w:hint="eastAsia" w:ascii="Times New Roman" w:hAnsi="Times New Roman" w:eastAsia="宋体" w:cs="Times New Roman"/>
                <w:i w:val="0"/>
                <w:color w:val="auto"/>
                <w:kern w:val="0"/>
                <w:sz w:val="24"/>
                <w:szCs w:val="24"/>
                <w:highlight w:val="none"/>
                <w:u w:val="none"/>
                <w:lang w:val="en-US" w:eastAsia="zh-CN" w:bidi="ar"/>
              </w:rPr>
              <w:t>X809</w:t>
            </w:r>
            <w:r>
              <w:rPr>
                <w:rFonts w:hint="default" w:ascii="Times New Roman" w:hAnsi="Times New Roman" w:eastAsia="宋体" w:cs="Times New Roman"/>
                <w:i w:val="0"/>
                <w:color w:val="auto"/>
                <w:kern w:val="0"/>
                <w:sz w:val="24"/>
                <w:szCs w:val="24"/>
                <w:highlight w:val="none"/>
                <w:u w:val="none"/>
                <w:lang w:val="en-US" w:eastAsia="zh-CN" w:bidi="ar"/>
              </w:rPr>
              <w:t>灯光线一期改扩建工程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将灯塔村大庙至白沙村委会的村道</w:t>
            </w:r>
            <w:r>
              <w:rPr>
                <w:rFonts w:hint="eastAsia" w:ascii="Times New Roman" w:hAnsi="Times New Roman" w:eastAsia="宋体" w:cs="Times New Roman"/>
                <w:i w:val="0"/>
                <w:color w:val="auto"/>
                <w:kern w:val="0"/>
                <w:sz w:val="24"/>
                <w:szCs w:val="24"/>
                <w:highlight w:val="none"/>
                <w:u w:val="none"/>
                <w:lang w:val="en-US" w:eastAsia="zh-CN" w:bidi="ar"/>
              </w:rPr>
              <w:t>C323</w:t>
            </w:r>
            <w:r>
              <w:rPr>
                <w:rFonts w:hint="default" w:ascii="Times New Roman" w:hAnsi="Times New Roman" w:eastAsia="宋体" w:cs="Times New Roman"/>
                <w:i w:val="0"/>
                <w:color w:val="auto"/>
                <w:kern w:val="0"/>
                <w:sz w:val="24"/>
                <w:szCs w:val="24"/>
                <w:highlight w:val="none"/>
                <w:u w:val="none"/>
                <w:lang w:val="en-US" w:eastAsia="zh-CN" w:bidi="ar"/>
              </w:rPr>
              <w:t>、乡道</w:t>
            </w:r>
            <w:r>
              <w:rPr>
                <w:rFonts w:hint="eastAsia" w:ascii="Times New Roman" w:hAnsi="Times New Roman" w:eastAsia="宋体" w:cs="Times New Roman"/>
                <w:i w:val="0"/>
                <w:color w:val="auto"/>
                <w:kern w:val="0"/>
                <w:sz w:val="24"/>
                <w:szCs w:val="24"/>
                <w:highlight w:val="none"/>
                <w:u w:val="none"/>
                <w:lang w:val="en-US" w:eastAsia="zh-CN" w:bidi="ar"/>
              </w:rPr>
              <w:t>Y127</w:t>
            </w:r>
            <w:r>
              <w:rPr>
                <w:rFonts w:hint="default" w:ascii="Times New Roman" w:hAnsi="Times New Roman" w:eastAsia="宋体" w:cs="Times New Roman"/>
                <w:i w:val="0"/>
                <w:color w:val="auto"/>
                <w:kern w:val="0"/>
                <w:sz w:val="24"/>
                <w:szCs w:val="24"/>
                <w:highlight w:val="none"/>
                <w:u w:val="none"/>
                <w:lang w:val="en-US" w:eastAsia="zh-CN" w:bidi="ar"/>
              </w:rPr>
              <w:t>升级改造为县道</w:t>
            </w:r>
            <w:r>
              <w:rPr>
                <w:rFonts w:hint="eastAsia" w:ascii="Times New Roman" w:hAnsi="Times New Roman" w:eastAsia="宋体" w:cs="Times New Roman"/>
                <w:i w:val="0"/>
                <w:color w:val="auto"/>
                <w:kern w:val="0"/>
                <w:sz w:val="24"/>
                <w:szCs w:val="24"/>
                <w:highlight w:val="none"/>
                <w:u w:val="none"/>
                <w:lang w:val="en-US" w:eastAsia="zh-CN" w:bidi="ar"/>
              </w:rPr>
              <w:t>X809</w:t>
            </w:r>
            <w:r>
              <w:rPr>
                <w:rFonts w:hint="default" w:ascii="Times New Roman" w:hAnsi="Times New Roman" w:eastAsia="宋体" w:cs="Times New Roman"/>
                <w:i w:val="0"/>
                <w:color w:val="auto"/>
                <w:kern w:val="0"/>
                <w:sz w:val="24"/>
                <w:szCs w:val="24"/>
                <w:highlight w:val="none"/>
                <w:u w:val="none"/>
                <w:lang w:val="en-US" w:eastAsia="zh-CN" w:bidi="ar"/>
              </w:rPr>
              <w:t>，全长</w:t>
            </w:r>
            <w:r>
              <w:rPr>
                <w:rFonts w:hint="eastAsia" w:ascii="Times New Roman" w:hAnsi="Times New Roman" w:eastAsia="宋体" w:cs="Times New Roman"/>
                <w:i w:val="0"/>
                <w:color w:val="auto"/>
                <w:kern w:val="0"/>
                <w:sz w:val="24"/>
                <w:szCs w:val="24"/>
                <w:highlight w:val="none"/>
                <w:u w:val="none"/>
                <w:lang w:val="en-US" w:eastAsia="zh-CN" w:bidi="ar"/>
              </w:rPr>
              <w:t>7</w:t>
            </w:r>
            <w:r>
              <w:rPr>
                <w:rFonts w:hint="default" w:ascii="Times New Roman" w:hAnsi="Times New Roman" w:eastAsia="宋体" w:cs="Times New Roman"/>
                <w:i w:val="0"/>
                <w:color w:val="auto"/>
                <w:kern w:val="0"/>
                <w:sz w:val="24"/>
                <w:szCs w:val="24"/>
                <w:highlight w:val="none"/>
                <w:u w:val="none"/>
                <w:lang w:val="en-US" w:eastAsia="zh-CN" w:bidi="ar"/>
              </w:rPr>
              <w:t>公里，双向两车道二级公路，路面宽度</w:t>
            </w:r>
            <w:r>
              <w:rPr>
                <w:rFonts w:hint="eastAsia" w:ascii="Times New Roman" w:hAnsi="Times New Roman" w:eastAsia="宋体" w:cs="Times New Roman"/>
                <w:i w:val="0"/>
                <w:color w:val="auto"/>
                <w:kern w:val="0"/>
                <w:sz w:val="24"/>
                <w:szCs w:val="24"/>
                <w:highlight w:val="none"/>
                <w:u w:val="none"/>
                <w:lang w:val="en-US" w:eastAsia="zh-CN" w:bidi="ar"/>
              </w:rPr>
              <w:t>6.5</w:t>
            </w:r>
            <w:r>
              <w:rPr>
                <w:rFonts w:hint="default" w:ascii="Times New Roman" w:hAnsi="Times New Roman" w:eastAsia="宋体" w:cs="Times New Roman"/>
                <w:i w:val="0"/>
                <w:color w:val="auto"/>
                <w:kern w:val="0"/>
                <w:sz w:val="24"/>
                <w:szCs w:val="24"/>
                <w:highlight w:val="none"/>
                <w:u w:val="none"/>
                <w:lang w:val="en-US" w:eastAsia="zh-CN" w:bidi="ar"/>
              </w:rPr>
              <w:t>米，水泥路面。</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2022</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南三岛东部垣汀路新建工程</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道路全长约</w:t>
            </w:r>
            <w:r>
              <w:rPr>
                <w:rFonts w:hint="eastAsia" w:ascii="Times New Roman" w:hAnsi="Times New Roman" w:eastAsia="宋体" w:cs="Times New Roman"/>
                <w:i w:val="0"/>
                <w:color w:val="auto"/>
                <w:kern w:val="0"/>
                <w:sz w:val="24"/>
                <w:szCs w:val="24"/>
                <w:highlight w:val="none"/>
                <w:u w:val="none"/>
                <w:lang w:val="en-US" w:eastAsia="zh-CN" w:bidi="ar"/>
              </w:rPr>
              <w:t>5911.6</w:t>
            </w:r>
            <w:r>
              <w:rPr>
                <w:rFonts w:hint="default" w:ascii="Times New Roman" w:hAnsi="Times New Roman" w:eastAsia="宋体" w:cs="Times New Roman"/>
                <w:i w:val="0"/>
                <w:color w:val="auto"/>
                <w:kern w:val="0"/>
                <w:sz w:val="24"/>
                <w:szCs w:val="24"/>
                <w:highlight w:val="none"/>
                <w:u w:val="none"/>
                <w:lang w:val="en-US" w:eastAsia="zh-CN" w:bidi="ar"/>
              </w:rPr>
              <w:t>米，规划红线宽度为</w:t>
            </w:r>
            <w:r>
              <w:rPr>
                <w:rFonts w:hint="eastAsia" w:ascii="Times New Roman" w:hAnsi="Times New Roman" w:eastAsia="宋体" w:cs="Times New Roman"/>
                <w:i w:val="0"/>
                <w:color w:val="auto"/>
                <w:kern w:val="0"/>
                <w:sz w:val="24"/>
                <w:szCs w:val="24"/>
                <w:highlight w:val="none"/>
                <w:u w:val="none"/>
                <w:lang w:val="en-US" w:eastAsia="zh-CN" w:bidi="ar"/>
              </w:rPr>
              <w:t>36</w:t>
            </w:r>
            <w:r>
              <w:rPr>
                <w:rFonts w:hint="default" w:ascii="Times New Roman" w:hAnsi="Times New Roman" w:eastAsia="宋体" w:cs="Times New Roman"/>
                <w:i w:val="0"/>
                <w:color w:val="auto"/>
                <w:kern w:val="0"/>
                <w:sz w:val="24"/>
                <w:szCs w:val="24"/>
                <w:highlight w:val="none"/>
                <w:u w:val="none"/>
                <w:lang w:val="en-US" w:eastAsia="zh-CN" w:bidi="ar"/>
              </w:rPr>
              <w:t>米，包括道路、给排水、交通及照明工程、绿化等。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4"/>
                <w:szCs w:val="24"/>
                <w:highlight w:val="none"/>
                <w:u w:val="none"/>
                <w:lang w:val="en-US" w:eastAsia="zh-CN" w:bidi="ar-SA"/>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30500.00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申蓝宝邸（宝钢职工生活区）</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项目占地</w:t>
            </w:r>
            <w:r>
              <w:rPr>
                <w:rFonts w:hint="eastAsia" w:ascii="Times New Roman" w:hAnsi="Times New Roman" w:eastAsia="宋体" w:cs="Times New Roman"/>
                <w:i w:val="0"/>
                <w:color w:val="auto"/>
                <w:kern w:val="0"/>
                <w:sz w:val="24"/>
                <w:szCs w:val="24"/>
                <w:highlight w:val="none"/>
                <w:u w:val="none"/>
                <w:lang w:val="en-US" w:eastAsia="zh-CN" w:bidi="ar"/>
              </w:rPr>
              <w:t>280</w:t>
            </w:r>
            <w:r>
              <w:rPr>
                <w:rFonts w:hint="default" w:ascii="Times New Roman" w:hAnsi="Times New Roman" w:eastAsia="宋体" w:cs="Times New Roman"/>
                <w:i w:val="0"/>
                <w:color w:val="auto"/>
                <w:kern w:val="0"/>
                <w:sz w:val="24"/>
                <w:szCs w:val="24"/>
                <w:highlight w:val="none"/>
                <w:u w:val="none"/>
                <w:lang w:val="en-US" w:eastAsia="zh-CN" w:bidi="ar"/>
              </w:rPr>
              <w:t>亩，建筑面积</w:t>
            </w:r>
            <w:r>
              <w:rPr>
                <w:rFonts w:hint="eastAsia" w:ascii="Times New Roman" w:hAnsi="Times New Roman" w:eastAsia="宋体" w:cs="Times New Roman"/>
                <w:i w:val="0"/>
                <w:color w:val="auto"/>
                <w:kern w:val="0"/>
                <w:sz w:val="24"/>
                <w:szCs w:val="24"/>
                <w:highlight w:val="none"/>
                <w:u w:val="none"/>
                <w:lang w:val="en-US" w:eastAsia="zh-CN" w:bidi="ar"/>
              </w:rPr>
              <w:t>50</w:t>
            </w:r>
            <w:r>
              <w:rPr>
                <w:rFonts w:hint="default" w:ascii="Times New Roman" w:hAnsi="Times New Roman" w:eastAsia="宋体" w:cs="Times New Roman"/>
                <w:i w:val="0"/>
                <w:color w:val="auto"/>
                <w:kern w:val="0"/>
                <w:sz w:val="24"/>
                <w:szCs w:val="24"/>
                <w:highlight w:val="none"/>
                <w:u w:val="none"/>
                <w:lang w:val="en-US" w:eastAsia="zh-CN" w:bidi="ar"/>
              </w:rPr>
              <w:t>万平方米。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2017</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265000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241161</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中科苑（中科炼化生活区）</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总用地面积：</w:t>
            </w:r>
            <w:r>
              <w:rPr>
                <w:rFonts w:hint="eastAsia" w:ascii="Times New Roman" w:hAnsi="Times New Roman" w:eastAsia="宋体" w:cs="Times New Roman"/>
                <w:i w:val="0"/>
                <w:color w:val="auto"/>
                <w:kern w:val="0"/>
                <w:sz w:val="24"/>
                <w:szCs w:val="24"/>
                <w:highlight w:val="none"/>
                <w:u w:val="none"/>
                <w:lang w:val="en-US" w:eastAsia="zh-CN" w:bidi="ar"/>
              </w:rPr>
              <w:t>145042.79</w:t>
            </w:r>
            <w:r>
              <w:rPr>
                <w:rFonts w:hint="default" w:ascii="Times New Roman" w:hAnsi="Times New Roman" w:eastAsia="宋体" w:cs="Times New Roman"/>
                <w:i w:val="0"/>
                <w:color w:val="auto"/>
                <w:kern w:val="0"/>
                <w:sz w:val="24"/>
                <w:szCs w:val="24"/>
                <w:highlight w:val="none"/>
                <w:u w:val="none"/>
                <w:lang w:val="en-US" w:eastAsia="zh-CN" w:bidi="ar"/>
              </w:rPr>
              <w:t>㎡，建筑面积约</w:t>
            </w:r>
            <w:r>
              <w:rPr>
                <w:rFonts w:hint="eastAsia" w:ascii="Times New Roman" w:hAnsi="Times New Roman" w:eastAsia="宋体" w:cs="Times New Roman"/>
                <w:i w:val="0"/>
                <w:color w:val="auto"/>
                <w:kern w:val="0"/>
                <w:sz w:val="24"/>
                <w:szCs w:val="24"/>
                <w:highlight w:val="none"/>
                <w:u w:val="none"/>
                <w:lang w:val="en-US" w:eastAsia="zh-CN" w:bidi="ar"/>
              </w:rPr>
              <w:t>45</w:t>
            </w:r>
            <w:r>
              <w:rPr>
                <w:rFonts w:hint="default" w:ascii="Times New Roman" w:hAnsi="Times New Roman" w:eastAsia="宋体" w:cs="Times New Roman"/>
                <w:i w:val="0"/>
                <w:color w:val="auto"/>
                <w:kern w:val="0"/>
                <w:sz w:val="24"/>
                <w:szCs w:val="24"/>
                <w:highlight w:val="none"/>
                <w:u w:val="none"/>
                <w:lang w:val="en-US" w:eastAsia="zh-CN" w:bidi="ar"/>
              </w:rPr>
              <w:t>万㎡。该项目分五期开发建设。</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2018</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224000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198252</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25748</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139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绿地新里海玥花园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总栋数</w:t>
            </w:r>
            <w:r>
              <w:rPr>
                <w:rFonts w:hint="eastAsia" w:ascii="Times New Roman" w:hAnsi="Times New Roman" w:eastAsia="宋体" w:cs="Times New Roman"/>
                <w:i w:val="0"/>
                <w:color w:val="auto"/>
                <w:kern w:val="0"/>
                <w:sz w:val="24"/>
                <w:szCs w:val="24"/>
                <w:highlight w:val="none"/>
                <w:u w:val="none"/>
                <w:lang w:val="en-US" w:eastAsia="zh-CN" w:bidi="ar"/>
              </w:rPr>
              <w:t>34</w:t>
            </w:r>
            <w:r>
              <w:rPr>
                <w:rFonts w:hint="default" w:ascii="Times New Roman" w:hAnsi="Times New Roman" w:eastAsia="宋体" w:cs="Times New Roman"/>
                <w:i w:val="0"/>
                <w:color w:val="auto"/>
                <w:kern w:val="0"/>
                <w:sz w:val="24"/>
                <w:szCs w:val="24"/>
                <w:highlight w:val="none"/>
                <w:u w:val="none"/>
                <w:lang w:val="en-US" w:eastAsia="zh-CN" w:bidi="ar"/>
              </w:rPr>
              <w:t>栋，总建筑</w:t>
            </w:r>
            <w:r>
              <w:rPr>
                <w:rFonts w:hint="eastAsia" w:ascii="Times New Roman" w:hAnsi="Times New Roman" w:eastAsia="宋体" w:cs="Times New Roman"/>
                <w:i w:val="0"/>
                <w:color w:val="auto"/>
                <w:kern w:val="0"/>
                <w:sz w:val="24"/>
                <w:szCs w:val="24"/>
                <w:highlight w:val="none"/>
                <w:u w:val="none"/>
                <w:lang w:val="en-US" w:eastAsia="zh-CN" w:bidi="ar"/>
              </w:rPr>
              <w:t>427733.52</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213300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134448</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78852</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湛江富力天海湾</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项目总建筑面积约</w:t>
            </w:r>
            <w:r>
              <w:rPr>
                <w:rFonts w:hint="eastAsia" w:ascii="Times New Roman" w:hAnsi="Times New Roman" w:eastAsia="宋体" w:cs="Times New Roman"/>
                <w:i w:val="0"/>
                <w:color w:val="auto"/>
                <w:kern w:val="0"/>
                <w:sz w:val="24"/>
                <w:szCs w:val="24"/>
                <w:highlight w:val="none"/>
                <w:u w:val="none"/>
                <w:lang w:val="en-US" w:eastAsia="zh-CN" w:bidi="ar"/>
              </w:rPr>
              <w:t>157600.94</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97000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141</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港城壹号广场</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占地</w:t>
            </w:r>
            <w:r>
              <w:rPr>
                <w:rFonts w:hint="eastAsia" w:ascii="Times New Roman" w:hAnsi="Times New Roman" w:eastAsia="宋体" w:cs="Times New Roman"/>
                <w:i w:val="0"/>
                <w:color w:val="auto"/>
                <w:kern w:val="0"/>
                <w:sz w:val="24"/>
                <w:szCs w:val="24"/>
                <w:highlight w:val="none"/>
                <w:u w:val="none"/>
                <w:lang w:val="en-US" w:eastAsia="zh-CN" w:bidi="ar"/>
              </w:rPr>
              <w:t>151</w:t>
            </w:r>
            <w:r>
              <w:rPr>
                <w:rFonts w:hint="default" w:ascii="Times New Roman" w:hAnsi="Times New Roman" w:eastAsia="宋体" w:cs="Times New Roman"/>
                <w:i w:val="0"/>
                <w:color w:val="auto"/>
                <w:kern w:val="0"/>
                <w:sz w:val="24"/>
                <w:szCs w:val="24"/>
                <w:highlight w:val="none"/>
                <w:u w:val="none"/>
                <w:lang w:val="en-US" w:eastAsia="zh-CN" w:bidi="ar"/>
              </w:rPr>
              <w:t>亩，总建筑面积</w:t>
            </w:r>
            <w:r>
              <w:rPr>
                <w:rFonts w:hint="eastAsia" w:ascii="Times New Roman" w:hAnsi="Times New Roman" w:eastAsia="宋体" w:cs="Times New Roman"/>
                <w:i w:val="0"/>
                <w:color w:val="auto"/>
                <w:kern w:val="0"/>
                <w:sz w:val="24"/>
                <w:szCs w:val="24"/>
                <w:highlight w:val="none"/>
                <w:u w:val="none"/>
                <w:lang w:val="en-US" w:eastAsia="zh-CN" w:bidi="ar"/>
              </w:rPr>
              <w:t>546372.30</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220000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88785</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131215</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142</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华发新城市南（北）花园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项目建设用地面积约</w:t>
            </w:r>
            <w:r>
              <w:rPr>
                <w:rFonts w:hint="eastAsia" w:ascii="Times New Roman" w:hAnsi="Times New Roman" w:eastAsia="宋体" w:cs="Times New Roman"/>
                <w:i w:val="0"/>
                <w:color w:val="auto"/>
                <w:kern w:val="0"/>
                <w:sz w:val="24"/>
                <w:szCs w:val="24"/>
                <w:highlight w:val="none"/>
                <w:u w:val="none"/>
                <w:lang w:val="en-US" w:eastAsia="zh-CN" w:bidi="ar"/>
              </w:rPr>
              <w:t>625500</w:t>
            </w:r>
            <w:r>
              <w:rPr>
                <w:rFonts w:hint="default" w:ascii="Times New Roman" w:hAnsi="Times New Roman" w:eastAsia="宋体" w:cs="Times New Roman"/>
                <w:i w:val="0"/>
                <w:color w:val="auto"/>
                <w:kern w:val="0"/>
                <w:sz w:val="24"/>
                <w:szCs w:val="24"/>
                <w:highlight w:val="none"/>
                <w:u w:val="none"/>
                <w:lang w:val="en-US" w:eastAsia="zh-CN" w:bidi="ar"/>
              </w:rPr>
              <w:t>平方米,拟建</w:t>
            </w:r>
            <w:r>
              <w:rPr>
                <w:rFonts w:hint="eastAsia" w:ascii="Times New Roman" w:hAnsi="Times New Roman" w:eastAsia="宋体" w:cs="Times New Roman"/>
                <w:i w:val="0"/>
                <w:color w:val="auto"/>
                <w:kern w:val="0"/>
                <w:sz w:val="24"/>
                <w:szCs w:val="24"/>
                <w:highlight w:val="none"/>
                <w:u w:val="none"/>
                <w:lang w:val="en-US" w:eastAsia="zh-CN" w:bidi="ar"/>
              </w:rPr>
              <w:t>63</w:t>
            </w:r>
            <w:r>
              <w:rPr>
                <w:rFonts w:hint="default" w:ascii="Times New Roman" w:hAnsi="Times New Roman" w:eastAsia="宋体" w:cs="Times New Roman"/>
                <w:i w:val="0"/>
                <w:color w:val="auto"/>
                <w:kern w:val="0"/>
                <w:sz w:val="24"/>
                <w:szCs w:val="24"/>
                <w:highlight w:val="none"/>
                <w:u w:val="none"/>
                <w:lang w:val="en-US" w:eastAsia="zh-CN" w:bidi="ar"/>
              </w:rPr>
              <w:t>幢带裙楼的商品房，建筑面积约</w:t>
            </w:r>
            <w:r>
              <w:rPr>
                <w:rFonts w:hint="eastAsia" w:ascii="Times New Roman" w:hAnsi="Times New Roman" w:eastAsia="宋体" w:cs="Times New Roman"/>
                <w:i w:val="0"/>
                <w:color w:val="auto"/>
                <w:kern w:val="0"/>
                <w:sz w:val="24"/>
                <w:szCs w:val="24"/>
                <w:highlight w:val="none"/>
                <w:u w:val="none"/>
                <w:lang w:val="en-US" w:eastAsia="zh-CN" w:bidi="ar"/>
              </w:rPr>
              <w:t>1803453</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2026</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291095</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143</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万和.御澜湾</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项目占地面积</w:t>
            </w:r>
            <w:r>
              <w:rPr>
                <w:rFonts w:hint="eastAsia" w:ascii="Times New Roman" w:hAnsi="Times New Roman" w:eastAsia="宋体" w:cs="Times New Roman"/>
                <w:i w:val="0"/>
                <w:color w:val="auto"/>
                <w:kern w:val="0"/>
                <w:sz w:val="24"/>
                <w:szCs w:val="24"/>
                <w:highlight w:val="none"/>
                <w:u w:val="none"/>
                <w:lang w:val="en-US" w:eastAsia="zh-CN" w:bidi="ar"/>
              </w:rPr>
              <w:t>17044.22</w:t>
            </w:r>
            <w:r>
              <w:rPr>
                <w:rFonts w:hint="default" w:ascii="Times New Roman" w:hAnsi="Times New Roman" w:eastAsia="宋体" w:cs="Times New Roman"/>
                <w:i w:val="0"/>
                <w:color w:val="auto"/>
                <w:kern w:val="0"/>
                <w:sz w:val="24"/>
                <w:szCs w:val="24"/>
                <w:highlight w:val="none"/>
                <w:u w:val="none"/>
                <w:lang w:val="en-US" w:eastAsia="zh-CN" w:bidi="ar"/>
              </w:rPr>
              <w:t>平方米，建筑面积</w:t>
            </w:r>
            <w:r>
              <w:rPr>
                <w:rFonts w:hint="eastAsia" w:ascii="Times New Roman" w:hAnsi="Times New Roman" w:eastAsia="宋体" w:cs="Times New Roman"/>
                <w:i w:val="0"/>
                <w:color w:val="auto"/>
                <w:kern w:val="0"/>
                <w:sz w:val="24"/>
                <w:szCs w:val="24"/>
                <w:highlight w:val="none"/>
                <w:u w:val="none"/>
                <w:lang w:val="en-US" w:eastAsia="zh-CN" w:bidi="ar"/>
              </w:rPr>
              <w:t>68847.81</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2020</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18187</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11813</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144</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畔海香湾花园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约</w:t>
            </w:r>
            <w:r>
              <w:rPr>
                <w:rFonts w:hint="eastAsia" w:ascii="Times New Roman" w:hAnsi="Times New Roman" w:eastAsia="宋体" w:cs="Times New Roman"/>
                <w:i w:val="0"/>
                <w:color w:val="auto"/>
                <w:kern w:val="0"/>
                <w:sz w:val="24"/>
                <w:szCs w:val="24"/>
                <w:highlight w:val="none"/>
                <w:u w:val="none"/>
                <w:lang w:val="en-US" w:eastAsia="zh-CN" w:bidi="ar"/>
              </w:rPr>
              <w:t>13</w:t>
            </w:r>
            <w:r>
              <w:rPr>
                <w:rFonts w:hint="default" w:ascii="Times New Roman" w:hAnsi="Times New Roman" w:eastAsia="宋体" w:cs="Times New Roman"/>
                <w:i w:val="0"/>
                <w:color w:val="auto"/>
                <w:kern w:val="0"/>
                <w:sz w:val="24"/>
                <w:szCs w:val="24"/>
                <w:highlight w:val="none"/>
                <w:u w:val="none"/>
                <w:lang w:val="en-US" w:eastAsia="zh-CN" w:bidi="ar"/>
              </w:rPr>
              <w:t>万平米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80000</w:t>
            </w:r>
          </w:p>
        </w:tc>
      </w:tr>
      <w:tr>
        <w:tblPrEx>
          <w:shd w:val="clear" w:color="auto" w:fill="auto"/>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145</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达智天境花园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占地面积</w:t>
            </w:r>
            <w:r>
              <w:rPr>
                <w:rFonts w:hint="eastAsia" w:ascii="Times New Roman" w:hAnsi="Times New Roman" w:eastAsia="宋体" w:cs="Times New Roman"/>
                <w:i w:val="0"/>
                <w:color w:val="auto"/>
                <w:kern w:val="0"/>
                <w:sz w:val="24"/>
                <w:szCs w:val="24"/>
                <w:highlight w:val="none"/>
                <w:u w:val="none"/>
                <w:lang w:val="en-US" w:eastAsia="zh-CN" w:bidi="ar"/>
              </w:rPr>
              <w:t>76</w:t>
            </w:r>
            <w:r>
              <w:rPr>
                <w:rFonts w:hint="default" w:ascii="Times New Roman" w:hAnsi="Times New Roman" w:eastAsia="宋体" w:cs="Times New Roman"/>
                <w:i w:val="0"/>
                <w:color w:val="auto"/>
                <w:kern w:val="0"/>
                <w:sz w:val="24"/>
                <w:szCs w:val="24"/>
                <w:highlight w:val="none"/>
                <w:u w:val="none"/>
                <w:lang w:val="en-US" w:eastAsia="zh-CN" w:bidi="ar"/>
              </w:rPr>
              <w:t>亩，建设面积约</w:t>
            </w:r>
            <w:r>
              <w:rPr>
                <w:rFonts w:hint="eastAsia" w:ascii="Times New Roman" w:hAnsi="Times New Roman" w:eastAsia="宋体" w:cs="Times New Roman"/>
                <w:i w:val="0"/>
                <w:color w:val="auto"/>
                <w:kern w:val="0"/>
                <w:sz w:val="24"/>
                <w:szCs w:val="24"/>
                <w:highlight w:val="none"/>
                <w:u w:val="none"/>
                <w:lang w:val="en-US" w:eastAsia="zh-CN" w:bidi="ar"/>
              </w:rPr>
              <w:t>10</w:t>
            </w:r>
            <w:r>
              <w:rPr>
                <w:rFonts w:hint="default" w:ascii="Times New Roman" w:hAnsi="Times New Roman" w:eastAsia="宋体" w:cs="Times New Roman"/>
                <w:i w:val="0"/>
                <w:color w:val="auto"/>
                <w:kern w:val="0"/>
                <w:sz w:val="24"/>
                <w:szCs w:val="24"/>
                <w:highlight w:val="none"/>
                <w:u w:val="none"/>
                <w:lang w:val="en-US" w:eastAsia="zh-CN" w:bidi="ar"/>
              </w:rPr>
              <w:t>万平方，计划建设六栋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2023</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146</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0"/>
                <w:sz w:val="24"/>
                <w:szCs w:val="2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▲红星海景花园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占地面积为</w:t>
            </w:r>
            <w:r>
              <w:rPr>
                <w:rFonts w:hint="eastAsia" w:ascii="Times New Roman" w:hAnsi="Times New Roman" w:eastAsia="宋体" w:cs="Times New Roman"/>
                <w:i w:val="0"/>
                <w:color w:val="auto"/>
                <w:kern w:val="0"/>
                <w:sz w:val="24"/>
                <w:szCs w:val="24"/>
                <w:highlight w:val="none"/>
                <w:u w:val="none"/>
                <w:lang w:val="en-US" w:eastAsia="zh-CN" w:bidi="ar"/>
              </w:rPr>
              <w:t>110473.15</w:t>
            </w:r>
            <w:r>
              <w:rPr>
                <w:rFonts w:hint="default" w:ascii="Times New Roman" w:hAnsi="Times New Roman" w:eastAsia="宋体" w:cs="Times New Roman"/>
                <w:i w:val="0"/>
                <w:color w:val="auto"/>
                <w:kern w:val="0"/>
                <w:sz w:val="24"/>
                <w:szCs w:val="24"/>
                <w:highlight w:val="none"/>
                <w:u w:val="none"/>
                <w:lang w:val="en-US" w:eastAsia="zh-CN" w:bidi="ar"/>
              </w:rPr>
              <w:t>平方米，总建筑面积约</w:t>
            </w:r>
            <w:r>
              <w:rPr>
                <w:rFonts w:hint="eastAsia" w:ascii="Times New Roman" w:hAnsi="Times New Roman" w:eastAsia="宋体" w:cs="Times New Roman"/>
                <w:i w:val="0"/>
                <w:color w:val="auto"/>
                <w:kern w:val="0"/>
                <w:sz w:val="24"/>
                <w:szCs w:val="24"/>
                <w:highlight w:val="none"/>
                <w:u w:val="none"/>
                <w:lang w:val="en-US" w:eastAsia="zh-CN" w:bidi="ar"/>
              </w:rPr>
              <w:t>397796.19</w:t>
            </w:r>
            <w:r>
              <w:rPr>
                <w:rFonts w:hint="default" w:ascii="Times New Roman" w:hAnsi="Times New Roman" w:eastAsia="宋体" w:cs="Times New Roman"/>
                <w:i w:val="0"/>
                <w:color w:val="auto"/>
                <w:kern w:val="0"/>
                <w:sz w:val="24"/>
                <w:szCs w:val="24"/>
                <w:highlight w:val="none"/>
                <w:u w:val="none"/>
                <w:lang w:val="en-US" w:eastAsia="zh-CN" w:bidi="ar"/>
              </w:rPr>
              <w:t>平方米，其中计容建筑面积约</w:t>
            </w:r>
            <w:r>
              <w:rPr>
                <w:rFonts w:hint="eastAsia" w:ascii="Times New Roman" w:hAnsi="Times New Roman" w:eastAsia="宋体" w:cs="Times New Roman"/>
                <w:i w:val="0"/>
                <w:color w:val="auto"/>
                <w:kern w:val="0"/>
                <w:sz w:val="24"/>
                <w:szCs w:val="24"/>
                <w:highlight w:val="none"/>
                <w:u w:val="none"/>
                <w:lang w:val="en-US" w:eastAsia="zh-CN" w:bidi="ar"/>
              </w:rPr>
              <w:t>287474.39</w:t>
            </w:r>
            <w:r>
              <w:rPr>
                <w:rFonts w:hint="default" w:ascii="Times New Roman" w:hAnsi="Times New Roman" w:eastAsia="宋体" w:cs="Times New Roman"/>
                <w:i w:val="0"/>
                <w:color w:val="auto"/>
                <w:kern w:val="0"/>
                <w:sz w:val="24"/>
                <w:szCs w:val="24"/>
                <w:highlight w:val="none"/>
                <w:u w:val="none"/>
                <w:lang w:val="en-US" w:eastAsia="zh-CN" w:bidi="ar"/>
              </w:rPr>
              <w:t>平方米。拟建设</w:t>
            </w:r>
            <w:r>
              <w:rPr>
                <w:rFonts w:hint="eastAsia" w:ascii="Times New Roman" w:hAnsi="Times New Roman" w:eastAsia="宋体" w:cs="Times New Roman"/>
                <w:i w:val="0"/>
                <w:color w:val="auto"/>
                <w:kern w:val="0"/>
                <w:sz w:val="24"/>
                <w:szCs w:val="24"/>
                <w:highlight w:val="none"/>
                <w:u w:val="none"/>
                <w:lang w:val="en-US" w:eastAsia="zh-CN" w:bidi="ar"/>
              </w:rPr>
              <w:t>15</w:t>
            </w:r>
            <w:r>
              <w:rPr>
                <w:rFonts w:hint="default" w:ascii="Times New Roman" w:hAnsi="Times New Roman" w:eastAsia="宋体" w:cs="Times New Roman"/>
                <w:i w:val="0"/>
                <w:color w:val="auto"/>
                <w:kern w:val="0"/>
                <w:sz w:val="24"/>
                <w:szCs w:val="24"/>
                <w:highlight w:val="none"/>
                <w:u w:val="none"/>
                <w:lang w:val="en-US" w:eastAsia="zh-CN" w:bidi="ar"/>
              </w:rPr>
              <w:t>栋住宅，配建一所幼儿园、各类生活配套设施及</w:t>
            </w:r>
            <w:r>
              <w:rPr>
                <w:rFonts w:hint="eastAsia" w:ascii="Times New Roman" w:hAnsi="Times New Roman" w:eastAsia="宋体" w:cs="Times New Roman"/>
                <w:i w:val="0"/>
                <w:color w:val="auto"/>
                <w:kern w:val="0"/>
                <w:sz w:val="24"/>
                <w:szCs w:val="24"/>
                <w:highlight w:val="none"/>
                <w:u w:val="none"/>
                <w:lang w:val="en-US" w:eastAsia="zh-CN" w:bidi="ar"/>
              </w:rPr>
              <w:t>108387</w:t>
            </w:r>
            <w:r>
              <w:rPr>
                <w:rFonts w:hint="default" w:ascii="Times New Roman" w:hAnsi="Times New Roman" w:eastAsia="宋体" w:cs="Times New Roman"/>
                <w:i w:val="0"/>
                <w:color w:val="auto"/>
                <w:kern w:val="0"/>
                <w:sz w:val="24"/>
                <w:szCs w:val="24"/>
                <w:highlight w:val="none"/>
                <w:u w:val="none"/>
                <w:lang w:val="en-US" w:eastAsia="zh-CN" w:bidi="ar"/>
              </w:rPr>
              <w:t>平方米市政道路。</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240000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147</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▲地标·海东广场项目</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建设总规模：</w:t>
            </w:r>
            <w:r>
              <w:rPr>
                <w:rFonts w:hint="eastAsia" w:ascii="Times New Roman" w:hAnsi="Times New Roman" w:eastAsia="宋体" w:cs="Times New Roman"/>
                <w:i w:val="0"/>
                <w:color w:val="auto"/>
                <w:kern w:val="0"/>
                <w:sz w:val="24"/>
                <w:szCs w:val="24"/>
                <w:highlight w:val="none"/>
                <w:u w:val="none"/>
                <w:lang w:val="en-US" w:eastAsia="zh-CN" w:bidi="ar"/>
              </w:rPr>
              <w:t>559242.93</w:t>
            </w:r>
            <w:r>
              <w:rPr>
                <w:rFonts w:hint="default" w:ascii="Times New Roman" w:hAnsi="Times New Roman" w:eastAsia="宋体" w:cs="Times New Roman"/>
                <w:i w:val="0"/>
                <w:color w:val="auto"/>
                <w:kern w:val="0"/>
                <w:sz w:val="24"/>
                <w:szCs w:val="24"/>
                <w:highlight w:val="none"/>
                <w:u w:val="none"/>
                <w:lang w:val="en-US" w:eastAsia="zh-CN" w:bidi="ar"/>
              </w:rPr>
              <w:t>平方米，主要分为商业及住宅两部分，住宅建筑面积</w:t>
            </w:r>
            <w:r>
              <w:rPr>
                <w:rFonts w:hint="eastAsia" w:ascii="Times New Roman" w:hAnsi="Times New Roman" w:eastAsia="宋体" w:cs="Times New Roman"/>
                <w:i w:val="0"/>
                <w:color w:val="auto"/>
                <w:kern w:val="0"/>
                <w:sz w:val="24"/>
                <w:szCs w:val="24"/>
                <w:highlight w:val="none"/>
                <w:u w:val="none"/>
                <w:lang w:val="en-US" w:eastAsia="zh-CN" w:bidi="ar"/>
              </w:rPr>
              <w:t>355443.76</w:t>
            </w:r>
            <w:r>
              <w:rPr>
                <w:rFonts w:hint="default" w:ascii="Times New Roman" w:hAnsi="Times New Roman" w:eastAsia="宋体" w:cs="Times New Roman"/>
                <w:i w:val="0"/>
                <w:color w:val="auto"/>
                <w:kern w:val="0"/>
                <w:sz w:val="24"/>
                <w:szCs w:val="24"/>
                <w:highlight w:val="none"/>
                <w:u w:val="none"/>
                <w:lang w:val="en-US" w:eastAsia="zh-CN" w:bidi="ar"/>
              </w:rPr>
              <w:t>平方米，商铺建筑面积</w:t>
            </w:r>
            <w:r>
              <w:rPr>
                <w:rFonts w:hint="eastAsia" w:ascii="Times New Roman" w:hAnsi="Times New Roman" w:eastAsia="宋体" w:cs="Times New Roman"/>
                <w:i w:val="0"/>
                <w:color w:val="auto"/>
                <w:kern w:val="0"/>
                <w:sz w:val="24"/>
                <w:szCs w:val="24"/>
                <w:highlight w:val="none"/>
                <w:u w:val="none"/>
                <w:lang w:val="en-US" w:eastAsia="zh-CN" w:bidi="ar"/>
              </w:rPr>
              <w:t>33658.32</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2017</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2022</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192000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205040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15000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148</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▲幸福港湾花园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建设住宅</w:t>
            </w:r>
            <w:r>
              <w:rPr>
                <w:rFonts w:hint="eastAsia" w:ascii="Times New Roman" w:hAnsi="Times New Roman" w:eastAsia="宋体" w:cs="Times New Roman"/>
                <w:i w:val="0"/>
                <w:color w:val="auto"/>
                <w:kern w:val="0"/>
                <w:sz w:val="24"/>
                <w:szCs w:val="24"/>
                <w:highlight w:val="none"/>
                <w:u w:val="none"/>
                <w:lang w:val="en-US" w:eastAsia="zh-CN" w:bidi="ar"/>
              </w:rPr>
              <w:t>11</w:t>
            </w:r>
            <w:r>
              <w:rPr>
                <w:rFonts w:hint="default" w:ascii="Times New Roman" w:hAnsi="Times New Roman" w:eastAsia="宋体" w:cs="Times New Roman"/>
                <w:i w:val="0"/>
                <w:color w:val="auto"/>
                <w:kern w:val="0"/>
                <w:sz w:val="24"/>
                <w:szCs w:val="24"/>
                <w:highlight w:val="none"/>
                <w:u w:val="none"/>
                <w:lang w:val="en-US" w:eastAsia="zh-CN" w:bidi="ar"/>
              </w:rPr>
              <w:t>栋，公寓</w:t>
            </w:r>
            <w:r>
              <w:rPr>
                <w:rFonts w:hint="eastAsia" w:ascii="Times New Roman" w:hAnsi="Times New Roman" w:eastAsia="宋体"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栋，幼儿园</w:t>
            </w:r>
            <w:r>
              <w:rPr>
                <w:rFonts w:hint="eastAsia" w:ascii="Times New Roman" w:hAnsi="Times New Roman" w:eastAsia="宋体" w:cs="Times New Roman"/>
                <w:i w:val="0"/>
                <w:color w:val="auto"/>
                <w:kern w:val="0"/>
                <w:sz w:val="24"/>
                <w:szCs w:val="24"/>
                <w:highlight w:val="none"/>
                <w:u w:val="none"/>
                <w:lang w:val="en-US" w:eastAsia="zh-CN" w:bidi="ar"/>
              </w:rPr>
              <w:t>1</w:t>
            </w:r>
            <w:r>
              <w:rPr>
                <w:rFonts w:hint="default" w:ascii="Times New Roman" w:hAnsi="Times New Roman" w:eastAsia="宋体" w:cs="Times New Roman"/>
                <w:i w:val="0"/>
                <w:color w:val="auto"/>
                <w:kern w:val="0"/>
                <w:sz w:val="24"/>
                <w:szCs w:val="24"/>
                <w:highlight w:val="none"/>
                <w:u w:val="none"/>
                <w:lang w:val="en-US" w:eastAsia="zh-CN" w:bidi="ar"/>
              </w:rPr>
              <w:t>栋。</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2024</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82200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82200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149</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南海明珠花园</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建筑面积</w:t>
            </w:r>
            <w:r>
              <w:rPr>
                <w:rFonts w:hint="eastAsia" w:ascii="Times New Roman" w:hAnsi="Times New Roman" w:eastAsia="宋体" w:cs="Times New Roman"/>
                <w:i w:val="0"/>
                <w:color w:val="auto"/>
                <w:kern w:val="0"/>
                <w:sz w:val="24"/>
                <w:szCs w:val="24"/>
                <w:highlight w:val="none"/>
                <w:u w:val="none"/>
                <w:lang w:val="en-US" w:eastAsia="zh-CN" w:bidi="ar"/>
              </w:rPr>
              <w:t>488683.77</w:t>
            </w:r>
            <w:r>
              <w:rPr>
                <w:rFonts w:hint="default" w:ascii="Times New Roman" w:hAnsi="Times New Roman" w:eastAsia="宋体" w:cs="Times New Roman"/>
                <w:i w:val="0"/>
                <w:color w:val="auto"/>
                <w:kern w:val="0"/>
                <w:sz w:val="24"/>
                <w:szCs w:val="24"/>
                <w:highlight w:val="none"/>
                <w:u w:val="none"/>
                <w:lang w:val="en-US" w:eastAsia="zh-CN" w:bidi="ar"/>
              </w:rPr>
              <w:t>平方，建设酒店一幢</w:t>
            </w:r>
            <w:r>
              <w:rPr>
                <w:rFonts w:hint="eastAsia" w:ascii="Times New Roman" w:hAnsi="Times New Roman" w:eastAsia="宋体" w:cs="Times New Roman"/>
                <w:i w:val="0"/>
                <w:color w:val="auto"/>
                <w:kern w:val="0"/>
                <w:sz w:val="24"/>
                <w:szCs w:val="24"/>
                <w:highlight w:val="none"/>
                <w:u w:val="none"/>
                <w:lang w:val="en-US" w:eastAsia="zh-CN" w:bidi="ar"/>
              </w:rPr>
              <w:t>55</w:t>
            </w:r>
            <w:r>
              <w:rPr>
                <w:rFonts w:hint="default" w:ascii="Times New Roman" w:hAnsi="Times New Roman" w:eastAsia="宋体" w:cs="Times New Roman"/>
                <w:i w:val="0"/>
                <w:color w:val="auto"/>
                <w:kern w:val="0"/>
                <w:sz w:val="24"/>
                <w:szCs w:val="24"/>
                <w:highlight w:val="none"/>
                <w:u w:val="none"/>
                <w:lang w:val="en-US" w:eastAsia="zh-CN" w:bidi="ar"/>
              </w:rPr>
              <w:t>层，住宅</w:t>
            </w:r>
            <w:r>
              <w:rPr>
                <w:rFonts w:hint="eastAsia" w:ascii="Times New Roman" w:hAnsi="Times New Roman" w:eastAsia="宋体" w:cs="Times New Roman"/>
                <w:i w:val="0"/>
                <w:color w:val="auto"/>
                <w:kern w:val="0"/>
                <w:sz w:val="24"/>
                <w:szCs w:val="24"/>
                <w:highlight w:val="none"/>
                <w:u w:val="none"/>
                <w:lang w:val="en-US" w:eastAsia="zh-CN" w:bidi="ar"/>
              </w:rPr>
              <w:t>11</w:t>
            </w:r>
            <w:r>
              <w:rPr>
                <w:rFonts w:hint="default" w:ascii="Times New Roman" w:hAnsi="Times New Roman" w:eastAsia="宋体" w:cs="Times New Roman"/>
                <w:i w:val="0"/>
                <w:color w:val="auto"/>
                <w:kern w:val="0"/>
                <w:sz w:val="24"/>
                <w:szCs w:val="24"/>
                <w:highlight w:val="none"/>
                <w:u w:val="none"/>
                <w:lang w:val="en-US" w:eastAsia="zh-CN" w:bidi="ar"/>
              </w:rPr>
              <w:t>幢</w:t>
            </w:r>
            <w:r>
              <w:rPr>
                <w:rFonts w:hint="eastAsia" w:ascii="Times New Roman" w:hAnsi="Times New Roman" w:eastAsia="宋体" w:cs="Times New Roman"/>
                <w:i w:val="0"/>
                <w:color w:val="auto"/>
                <w:kern w:val="0"/>
                <w:sz w:val="24"/>
                <w:szCs w:val="24"/>
                <w:highlight w:val="none"/>
                <w:u w:val="none"/>
                <w:lang w:val="en-US" w:eastAsia="zh-CN" w:bidi="ar"/>
              </w:rPr>
              <w:t>32</w:t>
            </w:r>
            <w:r>
              <w:rPr>
                <w:rFonts w:hint="default" w:ascii="Times New Roman" w:hAnsi="Times New Roman" w:eastAsia="宋体" w:cs="Times New Roman"/>
                <w:i w:val="0"/>
                <w:color w:val="auto"/>
                <w:kern w:val="0"/>
                <w:sz w:val="24"/>
                <w:szCs w:val="24"/>
                <w:highlight w:val="none"/>
                <w:u w:val="none"/>
                <w:lang w:val="en-US" w:eastAsia="zh-CN" w:bidi="ar"/>
              </w:rPr>
              <w:t>至</w:t>
            </w:r>
            <w:r>
              <w:rPr>
                <w:rFonts w:hint="eastAsia" w:ascii="Times New Roman" w:hAnsi="Times New Roman" w:eastAsia="宋体" w:cs="Times New Roman"/>
                <w:i w:val="0"/>
                <w:color w:val="auto"/>
                <w:kern w:val="0"/>
                <w:sz w:val="24"/>
                <w:szCs w:val="24"/>
                <w:highlight w:val="none"/>
                <w:u w:val="none"/>
                <w:lang w:val="en-US" w:eastAsia="zh-CN" w:bidi="ar"/>
              </w:rPr>
              <w:t>48</w:t>
            </w:r>
            <w:r>
              <w:rPr>
                <w:rFonts w:hint="default" w:ascii="Times New Roman" w:hAnsi="Times New Roman" w:eastAsia="宋体" w:cs="Times New Roman"/>
                <w:i w:val="0"/>
                <w:color w:val="auto"/>
                <w:kern w:val="0"/>
                <w:sz w:val="24"/>
                <w:szCs w:val="24"/>
                <w:highlight w:val="none"/>
                <w:u w:val="none"/>
                <w:lang w:val="en-US" w:eastAsia="zh-CN" w:bidi="ar"/>
              </w:rPr>
              <w:t>层不等</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2021</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2026</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250000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100000</w:t>
            </w:r>
          </w:p>
        </w:tc>
      </w:tr>
      <w:tr>
        <w:tblPrEx>
          <w:tblCellMar>
            <w:top w:w="0" w:type="dxa"/>
            <w:left w:w="0" w:type="dxa"/>
            <w:bottom w:w="0" w:type="dxa"/>
            <w:right w:w="0" w:type="dxa"/>
          </w:tblCellMar>
        </w:tblPrEx>
        <w:trPr>
          <w:trHeight w:val="17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150</w:t>
            </w:r>
          </w:p>
        </w:tc>
        <w:tc>
          <w:tcPr>
            <w:tcW w:w="937" w:type="pct"/>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湛江地标商务中心</w:t>
            </w:r>
          </w:p>
        </w:tc>
        <w:tc>
          <w:tcPr>
            <w:tcW w:w="176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建设总规模：</w:t>
            </w:r>
            <w:r>
              <w:rPr>
                <w:rFonts w:hint="eastAsia" w:ascii="Times New Roman" w:hAnsi="Times New Roman" w:eastAsia="宋体" w:cs="Times New Roman"/>
                <w:i w:val="0"/>
                <w:color w:val="auto"/>
                <w:kern w:val="0"/>
                <w:sz w:val="24"/>
                <w:szCs w:val="24"/>
                <w:highlight w:val="none"/>
                <w:u w:val="none"/>
                <w:lang w:val="en-US" w:eastAsia="zh-CN" w:bidi="ar"/>
              </w:rPr>
              <w:t>679742</w:t>
            </w:r>
            <w:r>
              <w:rPr>
                <w:rFonts w:hint="default" w:ascii="Times New Roman" w:hAnsi="Times New Roman" w:eastAsia="宋体" w:cs="Times New Roman"/>
                <w:i w:val="0"/>
                <w:color w:val="auto"/>
                <w:kern w:val="0"/>
                <w:sz w:val="24"/>
                <w:szCs w:val="24"/>
                <w:highlight w:val="none"/>
                <w:u w:val="none"/>
                <w:lang w:val="en-US" w:eastAsia="zh-CN" w:bidi="ar"/>
              </w:rPr>
              <w:t>平方米，主要分为商业及住宅两部分，住宅建筑面积</w:t>
            </w:r>
            <w:r>
              <w:rPr>
                <w:rFonts w:hint="eastAsia" w:ascii="Times New Roman" w:hAnsi="Times New Roman" w:eastAsia="宋体" w:cs="Times New Roman"/>
                <w:i w:val="0"/>
                <w:color w:val="auto"/>
                <w:kern w:val="0"/>
                <w:sz w:val="24"/>
                <w:szCs w:val="24"/>
                <w:highlight w:val="none"/>
                <w:u w:val="none"/>
                <w:lang w:val="en-US" w:eastAsia="zh-CN" w:bidi="ar"/>
              </w:rPr>
              <w:t>265362</w:t>
            </w:r>
            <w:r>
              <w:rPr>
                <w:rFonts w:hint="default" w:ascii="Times New Roman" w:hAnsi="Times New Roman" w:eastAsia="宋体" w:cs="Times New Roman"/>
                <w:i w:val="0"/>
                <w:color w:val="auto"/>
                <w:kern w:val="0"/>
                <w:sz w:val="24"/>
                <w:szCs w:val="24"/>
                <w:highlight w:val="none"/>
                <w:u w:val="none"/>
                <w:lang w:val="en-US" w:eastAsia="zh-CN" w:bidi="ar"/>
              </w:rPr>
              <w:t>平方米，商铺建筑面积</w:t>
            </w:r>
            <w:r>
              <w:rPr>
                <w:rFonts w:hint="eastAsia" w:ascii="Times New Roman" w:hAnsi="Times New Roman" w:eastAsia="宋体" w:cs="Times New Roman"/>
                <w:i w:val="0"/>
                <w:color w:val="auto"/>
                <w:kern w:val="0"/>
                <w:sz w:val="24"/>
                <w:szCs w:val="24"/>
                <w:highlight w:val="none"/>
                <w:u w:val="none"/>
                <w:lang w:val="en-US" w:eastAsia="zh-CN" w:bidi="ar"/>
              </w:rPr>
              <w:t>414381</w:t>
            </w:r>
            <w:r>
              <w:rPr>
                <w:rFonts w:hint="default" w:ascii="Times New Roman" w:hAnsi="Times New Roman" w:eastAsia="宋体" w:cs="Times New Roman"/>
                <w:i w:val="0"/>
                <w:color w:val="auto"/>
                <w:kern w:val="0"/>
                <w:sz w:val="24"/>
                <w:szCs w:val="24"/>
                <w:highlight w:val="none"/>
                <w:u w:val="none"/>
                <w:lang w:val="en-US" w:eastAsia="zh-CN" w:bidi="ar"/>
              </w:rPr>
              <w:t>平方米。</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2019</w:t>
            </w:r>
            <w:r>
              <w:rPr>
                <w:rFonts w:hint="default" w:ascii="Times New Roman" w:hAnsi="Times New Roman" w:eastAsia="宋体" w:cs="Times New Roman"/>
                <w:i w:val="0"/>
                <w:color w:val="auto"/>
                <w:kern w:val="0"/>
                <w:sz w:val="24"/>
                <w:szCs w:val="24"/>
                <w:highlight w:val="none"/>
                <w:u w:val="none"/>
                <w:lang w:val="en-US" w:eastAsia="zh-CN" w:bidi="ar"/>
              </w:rPr>
              <w:t>-</w:t>
            </w:r>
            <w:r>
              <w:rPr>
                <w:rFonts w:hint="eastAsia" w:ascii="Times New Roman" w:hAnsi="Times New Roman" w:eastAsia="宋体" w:cs="Times New Roman"/>
                <w:i w:val="0"/>
                <w:color w:val="auto"/>
                <w:kern w:val="0"/>
                <w:sz w:val="24"/>
                <w:szCs w:val="24"/>
                <w:highlight w:val="none"/>
                <w:u w:val="none"/>
                <w:lang w:val="en-US" w:eastAsia="zh-CN" w:bidi="ar"/>
              </w:rPr>
              <w:t>2025</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238484</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34200</w:t>
            </w:r>
          </w:p>
        </w:tc>
        <w:tc>
          <w:tcPr>
            <w:tcW w:w="5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204284</w:t>
            </w:r>
          </w:p>
        </w:tc>
      </w:tr>
    </w:tbl>
    <w:p>
      <w:pPr>
        <w:pStyle w:val="21"/>
        <w:jc w:val="both"/>
        <w:rPr>
          <w:rFonts w:ascii="黑体" w:hAnsi="黑体" w:eastAsia="黑体" w:cs="黑体"/>
          <w:color w:val="auto"/>
          <w:sz w:val="28"/>
          <w:szCs w:val="28"/>
          <w:highlight w:val="none"/>
        </w:rPr>
      </w:pPr>
    </w:p>
    <w:sectPr>
      <w:pgSz w:w="16838" w:h="11906" w:orient="landscape"/>
      <w:pgMar w:top="1800" w:right="1440" w:bottom="1800" w:left="1440" w:header="851" w:footer="992" w:gutter="0"/>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HiddenHorzOCl">
    <w:altName w:val="宋体"/>
    <w:panose1 w:val="00000000000000000000"/>
    <w:charset w:val="86"/>
    <w:family w:val="swiss"/>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ind w:firstLine="360"/>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lKt8EBAACO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VhS4rjFiV++f7v8+HX5+ZXc&#10;ZH36ADWmPQZMTMO9HzB39gM6M+1BRZu/SIhgHNU9X9WVQyIiP1qv1usKQwJj8wXx2dPzECG9ld6S&#10;bDQ04viKqvz0HtKYOqfkas4/aGPKCI37y4GY2cNy72OP2UrDfpgI7X17Rj49Tr6hDhedEvPOobB5&#10;SWYjzsZ+MnINCHfHhIVLPxl1hJqK4ZgKo2ml8h78eS9ZT7/R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tolKt8EBAACOAwAADgAAAAAAAAABACAAAAAeAQAAZHJzL2Uyb0RvYy54bWxQSwUG&#10;AAAAAAYABgBZAQAAUQUAAAAA&#10;">
              <v:fill on="f" focussize="0,0"/>
              <v:stroke on="f"/>
              <v:imagedata o:title=""/>
              <o:lock v:ext="edit" aspectratio="f"/>
              <v:textbox inset="0mm,0mm,0mm,0mm" style="mso-fit-shape-to-text:t;">
                <w:txbxContent>
                  <w:p>
                    <w:pPr>
                      <w:pStyle w:val="8"/>
                      <w:ind w:firstLine="36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矩形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8"/>
                            <w:ind w:firstLine="360"/>
                          </w:pPr>
                          <w:r>
                            <w:fldChar w:fldCharType="begin"/>
                          </w:r>
                          <w:r>
                            <w:instrText xml:space="preserve"> PAGE  \* MERGEFORMAT </w:instrText>
                          </w:r>
                          <w:r>
                            <w:fldChar w:fldCharType="separate"/>
                          </w:r>
                          <w:r>
                            <w:t>90</w:t>
                          </w:r>
                          <w: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RzL2/xQEAAJwDAAAOAAAAAAAAAAEAIAAAAB8BAABkcnMvZTJvRG9jLnht&#10;bFBLBQYAAAAABgAGAFkBAABWBQAAAAA=&#10;">
              <v:fill on="f" focussize="0,0"/>
              <v:stroke on="f"/>
              <v:imagedata o:title=""/>
              <o:lock v:ext="edit" aspectratio="f"/>
              <v:textbox inset="0mm,0mm,0mm,0mm" style="mso-fit-shape-to-text:t;">
                <w:txbxContent>
                  <w:p>
                    <w:pPr>
                      <w:pStyle w:val="8"/>
                      <w:ind w:firstLine="360"/>
                    </w:pPr>
                    <w:r>
                      <w:fldChar w:fldCharType="begin"/>
                    </w:r>
                    <w:r>
                      <w:instrText xml:space="preserve"> PAGE  \* MERGEFORMAT </w:instrText>
                    </w:r>
                    <w:r>
                      <w:fldChar w:fldCharType="separate"/>
                    </w:r>
                    <w:r>
                      <w:t>90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360"/>
                            <w:rPr>
                              <w:rFonts w:eastAsia="仿宋"/>
                            </w:rPr>
                          </w:pPr>
                          <w:r>
                            <w:rPr>
                              <w:rFonts w:hint="eastAsia"/>
                            </w:rPr>
                            <w:fldChar w:fldCharType="begin"/>
                          </w:r>
                          <w:r>
                            <w:rPr>
                              <w:rFonts w:hint="eastAsia"/>
                            </w:rPr>
                            <w:instrText xml:space="preserve"> PAGE  \* MERGEFORMAT </w:instrText>
                          </w:r>
                          <w:r>
                            <w:rPr>
                              <w:rFonts w:hint="eastAsia"/>
                            </w:rPr>
                            <w:fldChar w:fldCharType="separate"/>
                          </w:r>
                          <w:r>
                            <w:t>110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jp6U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zjp6UzAgAAZQQAAA4AAAAAAAAAAQAgAAAAHwEAAGRycy9lMm9Eb2MueG1sUEsF&#10;BgAAAAAGAAYAWQEAAMQFAAAAAA==&#10;">
              <v:fill on="f" focussize="0,0"/>
              <v:stroke on="f" weight="0.5pt"/>
              <v:imagedata o:title=""/>
              <o:lock v:ext="edit" aspectratio="f"/>
              <v:textbox inset="0mm,0mm,0mm,0mm" style="mso-fit-shape-to-text:t;">
                <w:txbxContent>
                  <w:p>
                    <w:pPr>
                      <w:pStyle w:val="8"/>
                      <w:ind w:firstLine="360"/>
                      <w:rPr>
                        <w:rFonts w:eastAsia="仿宋"/>
                      </w:rPr>
                    </w:pPr>
                    <w:r>
                      <w:rPr>
                        <w:rFonts w:hint="eastAsia"/>
                      </w:rPr>
                      <w:fldChar w:fldCharType="begin"/>
                    </w:r>
                    <w:r>
                      <w:rPr>
                        <w:rFonts w:hint="eastAsia"/>
                      </w:rPr>
                      <w:instrText xml:space="preserve"> PAGE  \* MERGEFORMAT </w:instrText>
                    </w:r>
                    <w:r>
                      <w:rPr>
                        <w:rFonts w:hint="eastAsia"/>
                      </w:rPr>
                      <w:fldChar w:fldCharType="separate"/>
                    </w:r>
                    <w:r>
                      <w:t>110</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387CB"/>
    <w:multiLevelType w:val="singleLevel"/>
    <w:tmpl w:val="943387CB"/>
    <w:lvl w:ilvl="0" w:tentative="0">
      <w:start w:val="1"/>
      <w:numFmt w:val="chineseCounting"/>
      <w:suff w:val="nothing"/>
      <w:lvlText w:val="%1、"/>
      <w:lvlJc w:val="left"/>
      <w:rPr>
        <w:rFonts w:hint="eastAsia"/>
      </w:rPr>
    </w:lvl>
  </w:abstractNum>
  <w:abstractNum w:abstractNumId="1">
    <w:nsid w:val="9ADBD447"/>
    <w:multiLevelType w:val="singleLevel"/>
    <w:tmpl w:val="9ADBD447"/>
    <w:lvl w:ilvl="0" w:tentative="0">
      <w:start w:val="1"/>
      <w:numFmt w:val="decimal"/>
      <w:suff w:val="space"/>
      <w:lvlText w:val="%1."/>
      <w:lvlJc w:val="left"/>
    </w:lvl>
  </w:abstractNum>
  <w:abstractNum w:abstractNumId="2">
    <w:nsid w:val="282991A9"/>
    <w:multiLevelType w:val="singleLevel"/>
    <w:tmpl w:val="282991A9"/>
    <w:lvl w:ilvl="0" w:tentative="0">
      <w:start w:val="3"/>
      <w:numFmt w:val="decimal"/>
      <w:suff w:val="space"/>
      <w:lvlText w:val="%1."/>
      <w:lvlJc w:val="left"/>
    </w:lvl>
  </w:abstractNum>
  <w:abstractNum w:abstractNumId="3">
    <w:nsid w:val="4A044E25"/>
    <w:multiLevelType w:val="singleLevel"/>
    <w:tmpl w:val="4A044E25"/>
    <w:lvl w:ilvl="0" w:tentative="0">
      <w:start w:val="2"/>
      <w:numFmt w:val="decimal"/>
      <w:suff w:val="space"/>
      <w:lvlText w:val="%1."/>
      <w:lvlJc w:val="left"/>
    </w:lvl>
  </w:abstractNum>
  <w:abstractNum w:abstractNumId="4">
    <w:nsid w:val="6B9B8ACE"/>
    <w:multiLevelType w:val="singleLevel"/>
    <w:tmpl w:val="6B9B8ACE"/>
    <w:lvl w:ilvl="0" w:tentative="0">
      <w:start w:val="13"/>
      <w:numFmt w:val="chineseCounting"/>
      <w:suff w:val="space"/>
      <w:lvlText w:val="第%1章"/>
      <w:lvlJc w:val="left"/>
      <w:rPr>
        <w:rFonts w:hint="eastAsia"/>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2ZWFkODc2YTAxYTJmMzRiMDE1NjcyMDkxYzZkZjYifQ=="/>
  </w:docVars>
  <w:rsids>
    <w:rsidRoot w:val="1ED6454B"/>
    <w:rsid w:val="0000684B"/>
    <w:rsid w:val="00043D74"/>
    <w:rsid w:val="0005299D"/>
    <w:rsid w:val="00062661"/>
    <w:rsid w:val="00066FB4"/>
    <w:rsid w:val="0008231A"/>
    <w:rsid w:val="000913EB"/>
    <w:rsid w:val="000B65FE"/>
    <w:rsid w:val="000D5D8F"/>
    <w:rsid w:val="000E2E77"/>
    <w:rsid w:val="000F020B"/>
    <w:rsid w:val="0010038F"/>
    <w:rsid w:val="0010087C"/>
    <w:rsid w:val="00124326"/>
    <w:rsid w:val="00136B44"/>
    <w:rsid w:val="00151777"/>
    <w:rsid w:val="001537F0"/>
    <w:rsid w:val="00160B35"/>
    <w:rsid w:val="001633AF"/>
    <w:rsid w:val="00174BA0"/>
    <w:rsid w:val="00175C2D"/>
    <w:rsid w:val="00183344"/>
    <w:rsid w:val="00195189"/>
    <w:rsid w:val="00197FD7"/>
    <w:rsid w:val="001A0C85"/>
    <w:rsid w:val="001A0E5F"/>
    <w:rsid w:val="001A2DC3"/>
    <w:rsid w:val="001D2CCC"/>
    <w:rsid w:val="001D6576"/>
    <w:rsid w:val="001D775F"/>
    <w:rsid w:val="001F304A"/>
    <w:rsid w:val="00215EDD"/>
    <w:rsid w:val="00230AF4"/>
    <w:rsid w:val="00233687"/>
    <w:rsid w:val="00234600"/>
    <w:rsid w:val="002527EB"/>
    <w:rsid w:val="00266ED7"/>
    <w:rsid w:val="00272C66"/>
    <w:rsid w:val="0027426E"/>
    <w:rsid w:val="00290B65"/>
    <w:rsid w:val="002A68E4"/>
    <w:rsid w:val="002C40DF"/>
    <w:rsid w:val="002D019A"/>
    <w:rsid w:val="002D5A44"/>
    <w:rsid w:val="002E1732"/>
    <w:rsid w:val="002F02A8"/>
    <w:rsid w:val="00320E30"/>
    <w:rsid w:val="0032595D"/>
    <w:rsid w:val="00336663"/>
    <w:rsid w:val="00340302"/>
    <w:rsid w:val="00356DAF"/>
    <w:rsid w:val="00372650"/>
    <w:rsid w:val="00376763"/>
    <w:rsid w:val="00377BC3"/>
    <w:rsid w:val="00385CBD"/>
    <w:rsid w:val="003A430D"/>
    <w:rsid w:val="003A5948"/>
    <w:rsid w:val="003C6A08"/>
    <w:rsid w:val="003D3322"/>
    <w:rsid w:val="003E2F07"/>
    <w:rsid w:val="003E44F9"/>
    <w:rsid w:val="003E73CA"/>
    <w:rsid w:val="00400825"/>
    <w:rsid w:val="00422F4A"/>
    <w:rsid w:val="00431565"/>
    <w:rsid w:val="004439EC"/>
    <w:rsid w:val="004572B3"/>
    <w:rsid w:val="004610CF"/>
    <w:rsid w:val="00471351"/>
    <w:rsid w:val="00480330"/>
    <w:rsid w:val="00485C1B"/>
    <w:rsid w:val="0048706E"/>
    <w:rsid w:val="004B0F86"/>
    <w:rsid w:val="004C24F0"/>
    <w:rsid w:val="004E7218"/>
    <w:rsid w:val="005034CD"/>
    <w:rsid w:val="005157FF"/>
    <w:rsid w:val="0052687B"/>
    <w:rsid w:val="00546810"/>
    <w:rsid w:val="0054703E"/>
    <w:rsid w:val="00564BEC"/>
    <w:rsid w:val="00570A28"/>
    <w:rsid w:val="00584D03"/>
    <w:rsid w:val="00590EC8"/>
    <w:rsid w:val="005A3499"/>
    <w:rsid w:val="005B2145"/>
    <w:rsid w:val="005B4AD0"/>
    <w:rsid w:val="005C0C95"/>
    <w:rsid w:val="005F7DF0"/>
    <w:rsid w:val="00620825"/>
    <w:rsid w:val="00646D32"/>
    <w:rsid w:val="00647C8E"/>
    <w:rsid w:val="0065419F"/>
    <w:rsid w:val="00657A7A"/>
    <w:rsid w:val="006600EF"/>
    <w:rsid w:val="006656DE"/>
    <w:rsid w:val="00682A36"/>
    <w:rsid w:val="00694D31"/>
    <w:rsid w:val="006956C6"/>
    <w:rsid w:val="006A1ECC"/>
    <w:rsid w:val="006C488F"/>
    <w:rsid w:val="006C57B5"/>
    <w:rsid w:val="006D61F8"/>
    <w:rsid w:val="006E1EC5"/>
    <w:rsid w:val="007059BD"/>
    <w:rsid w:val="00705C70"/>
    <w:rsid w:val="007072A6"/>
    <w:rsid w:val="00727E13"/>
    <w:rsid w:val="0073235B"/>
    <w:rsid w:val="00740AE2"/>
    <w:rsid w:val="00764CFA"/>
    <w:rsid w:val="00766070"/>
    <w:rsid w:val="007876B1"/>
    <w:rsid w:val="00791379"/>
    <w:rsid w:val="00796675"/>
    <w:rsid w:val="007C3DF9"/>
    <w:rsid w:val="007C5FB3"/>
    <w:rsid w:val="007D4F7A"/>
    <w:rsid w:val="007E5BAE"/>
    <w:rsid w:val="00802FCE"/>
    <w:rsid w:val="008030D2"/>
    <w:rsid w:val="0081366C"/>
    <w:rsid w:val="00813941"/>
    <w:rsid w:val="00815C49"/>
    <w:rsid w:val="0085587E"/>
    <w:rsid w:val="00863AEC"/>
    <w:rsid w:val="008823FD"/>
    <w:rsid w:val="00885E94"/>
    <w:rsid w:val="008A0C80"/>
    <w:rsid w:val="008C5944"/>
    <w:rsid w:val="00925489"/>
    <w:rsid w:val="0095463C"/>
    <w:rsid w:val="009556DB"/>
    <w:rsid w:val="00972FDD"/>
    <w:rsid w:val="0097493C"/>
    <w:rsid w:val="009760F9"/>
    <w:rsid w:val="00976814"/>
    <w:rsid w:val="0098114B"/>
    <w:rsid w:val="00982DDD"/>
    <w:rsid w:val="009865E9"/>
    <w:rsid w:val="00987765"/>
    <w:rsid w:val="009879D2"/>
    <w:rsid w:val="00994F92"/>
    <w:rsid w:val="00997530"/>
    <w:rsid w:val="009D7284"/>
    <w:rsid w:val="009E6E01"/>
    <w:rsid w:val="00A23FA2"/>
    <w:rsid w:val="00A41B3A"/>
    <w:rsid w:val="00A551FC"/>
    <w:rsid w:val="00A73DFB"/>
    <w:rsid w:val="00A97B69"/>
    <w:rsid w:val="00AB09B7"/>
    <w:rsid w:val="00AB7D18"/>
    <w:rsid w:val="00AC6DC1"/>
    <w:rsid w:val="00AD26ED"/>
    <w:rsid w:val="00AD2C9C"/>
    <w:rsid w:val="00AD6B86"/>
    <w:rsid w:val="00B02C5E"/>
    <w:rsid w:val="00B12B00"/>
    <w:rsid w:val="00B27982"/>
    <w:rsid w:val="00B83473"/>
    <w:rsid w:val="00B909B3"/>
    <w:rsid w:val="00BB7899"/>
    <w:rsid w:val="00BD10B9"/>
    <w:rsid w:val="00BD3E42"/>
    <w:rsid w:val="00BF3457"/>
    <w:rsid w:val="00C15355"/>
    <w:rsid w:val="00C17267"/>
    <w:rsid w:val="00C26B8F"/>
    <w:rsid w:val="00C319A6"/>
    <w:rsid w:val="00C37931"/>
    <w:rsid w:val="00C4074A"/>
    <w:rsid w:val="00C429A4"/>
    <w:rsid w:val="00C44FEB"/>
    <w:rsid w:val="00C51FEA"/>
    <w:rsid w:val="00C67454"/>
    <w:rsid w:val="00C70FA9"/>
    <w:rsid w:val="00C7367C"/>
    <w:rsid w:val="00C74454"/>
    <w:rsid w:val="00C761E8"/>
    <w:rsid w:val="00C823A7"/>
    <w:rsid w:val="00C84649"/>
    <w:rsid w:val="00C87311"/>
    <w:rsid w:val="00CB40CF"/>
    <w:rsid w:val="00CB7D4C"/>
    <w:rsid w:val="00CC0B1D"/>
    <w:rsid w:val="00CC2457"/>
    <w:rsid w:val="00CF1565"/>
    <w:rsid w:val="00CF6FF2"/>
    <w:rsid w:val="00D219CF"/>
    <w:rsid w:val="00D30536"/>
    <w:rsid w:val="00D36225"/>
    <w:rsid w:val="00D41A4A"/>
    <w:rsid w:val="00D42052"/>
    <w:rsid w:val="00D4730D"/>
    <w:rsid w:val="00D70FBC"/>
    <w:rsid w:val="00D86CE3"/>
    <w:rsid w:val="00D90FC6"/>
    <w:rsid w:val="00D91109"/>
    <w:rsid w:val="00D92851"/>
    <w:rsid w:val="00D9429F"/>
    <w:rsid w:val="00DA78A5"/>
    <w:rsid w:val="00DC10BC"/>
    <w:rsid w:val="00DD424B"/>
    <w:rsid w:val="00DD5751"/>
    <w:rsid w:val="00DF5694"/>
    <w:rsid w:val="00E0109B"/>
    <w:rsid w:val="00E349E3"/>
    <w:rsid w:val="00E360A6"/>
    <w:rsid w:val="00E42BB6"/>
    <w:rsid w:val="00E431DA"/>
    <w:rsid w:val="00E56580"/>
    <w:rsid w:val="00E5661A"/>
    <w:rsid w:val="00E65AA6"/>
    <w:rsid w:val="00E65AE5"/>
    <w:rsid w:val="00E66927"/>
    <w:rsid w:val="00E830CB"/>
    <w:rsid w:val="00E97127"/>
    <w:rsid w:val="00EA20B8"/>
    <w:rsid w:val="00EC30B6"/>
    <w:rsid w:val="00EC6E48"/>
    <w:rsid w:val="00ED0B95"/>
    <w:rsid w:val="00EF472F"/>
    <w:rsid w:val="00F022A6"/>
    <w:rsid w:val="00F0259A"/>
    <w:rsid w:val="00F3177F"/>
    <w:rsid w:val="00F428DA"/>
    <w:rsid w:val="00F46308"/>
    <w:rsid w:val="00F6330B"/>
    <w:rsid w:val="00F63835"/>
    <w:rsid w:val="00F71D08"/>
    <w:rsid w:val="00F75AE2"/>
    <w:rsid w:val="00F822CC"/>
    <w:rsid w:val="00F8349C"/>
    <w:rsid w:val="00FB36C0"/>
    <w:rsid w:val="00FE49B6"/>
    <w:rsid w:val="01001C5B"/>
    <w:rsid w:val="010E719C"/>
    <w:rsid w:val="011B2D5D"/>
    <w:rsid w:val="01220E5B"/>
    <w:rsid w:val="013517FD"/>
    <w:rsid w:val="0140048D"/>
    <w:rsid w:val="0144714E"/>
    <w:rsid w:val="015459A6"/>
    <w:rsid w:val="0154799A"/>
    <w:rsid w:val="01626684"/>
    <w:rsid w:val="016317EB"/>
    <w:rsid w:val="018841DA"/>
    <w:rsid w:val="018D49EA"/>
    <w:rsid w:val="01C84F80"/>
    <w:rsid w:val="01D96012"/>
    <w:rsid w:val="01E75487"/>
    <w:rsid w:val="01EE7E66"/>
    <w:rsid w:val="01FF76BE"/>
    <w:rsid w:val="02093EC4"/>
    <w:rsid w:val="020F5043"/>
    <w:rsid w:val="02157086"/>
    <w:rsid w:val="022A1723"/>
    <w:rsid w:val="022F4362"/>
    <w:rsid w:val="02723867"/>
    <w:rsid w:val="02967EC0"/>
    <w:rsid w:val="02A3710E"/>
    <w:rsid w:val="02A67E07"/>
    <w:rsid w:val="02B01762"/>
    <w:rsid w:val="02B3733B"/>
    <w:rsid w:val="02BE1000"/>
    <w:rsid w:val="02C31921"/>
    <w:rsid w:val="02C63A91"/>
    <w:rsid w:val="02D85EDC"/>
    <w:rsid w:val="02E57A5B"/>
    <w:rsid w:val="02EE3765"/>
    <w:rsid w:val="033E4DAB"/>
    <w:rsid w:val="033F0259"/>
    <w:rsid w:val="034125BF"/>
    <w:rsid w:val="0342036E"/>
    <w:rsid w:val="035644BD"/>
    <w:rsid w:val="03861192"/>
    <w:rsid w:val="039072A1"/>
    <w:rsid w:val="039F1E5C"/>
    <w:rsid w:val="03A26614"/>
    <w:rsid w:val="03AE65DE"/>
    <w:rsid w:val="03C46412"/>
    <w:rsid w:val="03C55692"/>
    <w:rsid w:val="03CA4E4F"/>
    <w:rsid w:val="03CE1784"/>
    <w:rsid w:val="03E30AAF"/>
    <w:rsid w:val="03ED63ED"/>
    <w:rsid w:val="03FC5691"/>
    <w:rsid w:val="04052257"/>
    <w:rsid w:val="04093147"/>
    <w:rsid w:val="04160783"/>
    <w:rsid w:val="04192968"/>
    <w:rsid w:val="04290FD5"/>
    <w:rsid w:val="042A0CDC"/>
    <w:rsid w:val="043D2D41"/>
    <w:rsid w:val="04405956"/>
    <w:rsid w:val="045652B1"/>
    <w:rsid w:val="045D1E14"/>
    <w:rsid w:val="04781FD4"/>
    <w:rsid w:val="04852AE4"/>
    <w:rsid w:val="04C96F0C"/>
    <w:rsid w:val="04F06D60"/>
    <w:rsid w:val="04FA4F18"/>
    <w:rsid w:val="05010E6D"/>
    <w:rsid w:val="050E26F1"/>
    <w:rsid w:val="05256B5C"/>
    <w:rsid w:val="05314330"/>
    <w:rsid w:val="05322C76"/>
    <w:rsid w:val="05495F9A"/>
    <w:rsid w:val="05AD310A"/>
    <w:rsid w:val="05F05A3E"/>
    <w:rsid w:val="062D5C74"/>
    <w:rsid w:val="06321CF5"/>
    <w:rsid w:val="06391D0F"/>
    <w:rsid w:val="06412F6B"/>
    <w:rsid w:val="06477E5F"/>
    <w:rsid w:val="06502BAF"/>
    <w:rsid w:val="066F4CA7"/>
    <w:rsid w:val="06742B03"/>
    <w:rsid w:val="06842BDC"/>
    <w:rsid w:val="068D03F6"/>
    <w:rsid w:val="06920262"/>
    <w:rsid w:val="06983A85"/>
    <w:rsid w:val="06C40D1D"/>
    <w:rsid w:val="06DC4A10"/>
    <w:rsid w:val="06E543AD"/>
    <w:rsid w:val="06EF042D"/>
    <w:rsid w:val="06F26202"/>
    <w:rsid w:val="06F66801"/>
    <w:rsid w:val="0741615A"/>
    <w:rsid w:val="074E5781"/>
    <w:rsid w:val="0751284C"/>
    <w:rsid w:val="075F2D23"/>
    <w:rsid w:val="076869BA"/>
    <w:rsid w:val="076B2EB3"/>
    <w:rsid w:val="077C5A0B"/>
    <w:rsid w:val="077D2657"/>
    <w:rsid w:val="07B50076"/>
    <w:rsid w:val="07CD1ADE"/>
    <w:rsid w:val="07E57DB9"/>
    <w:rsid w:val="07F14139"/>
    <w:rsid w:val="0804450A"/>
    <w:rsid w:val="080F2BEA"/>
    <w:rsid w:val="081173B6"/>
    <w:rsid w:val="08191F95"/>
    <w:rsid w:val="081A162E"/>
    <w:rsid w:val="081E29BB"/>
    <w:rsid w:val="081E39E6"/>
    <w:rsid w:val="082C0DE6"/>
    <w:rsid w:val="0837386D"/>
    <w:rsid w:val="08510AEE"/>
    <w:rsid w:val="085A3000"/>
    <w:rsid w:val="08667CBA"/>
    <w:rsid w:val="088E035F"/>
    <w:rsid w:val="088E565A"/>
    <w:rsid w:val="089329B4"/>
    <w:rsid w:val="08AE0A8A"/>
    <w:rsid w:val="08C22C66"/>
    <w:rsid w:val="08CA4B9F"/>
    <w:rsid w:val="08F22476"/>
    <w:rsid w:val="08F75AEE"/>
    <w:rsid w:val="09063462"/>
    <w:rsid w:val="09187CCE"/>
    <w:rsid w:val="09206C95"/>
    <w:rsid w:val="09273A6A"/>
    <w:rsid w:val="092D1346"/>
    <w:rsid w:val="09603B1F"/>
    <w:rsid w:val="09651FE2"/>
    <w:rsid w:val="0976584B"/>
    <w:rsid w:val="097F405D"/>
    <w:rsid w:val="098F5CD0"/>
    <w:rsid w:val="09992E2A"/>
    <w:rsid w:val="09A104BF"/>
    <w:rsid w:val="0A1452CC"/>
    <w:rsid w:val="0A241C62"/>
    <w:rsid w:val="0A244726"/>
    <w:rsid w:val="0A530C6A"/>
    <w:rsid w:val="0A6A71D2"/>
    <w:rsid w:val="0A7F4BEE"/>
    <w:rsid w:val="0A873F1E"/>
    <w:rsid w:val="0A8D4828"/>
    <w:rsid w:val="0A983A1C"/>
    <w:rsid w:val="0AAF6ACC"/>
    <w:rsid w:val="0AB12443"/>
    <w:rsid w:val="0AC6529E"/>
    <w:rsid w:val="0AD85643"/>
    <w:rsid w:val="0AE96D04"/>
    <w:rsid w:val="0AF71CBE"/>
    <w:rsid w:val="0B08737B"/>
    <w:rsid w:val="0B114B1C"/>
    <w:rsid w:val="0B2276BA"/>
    <w:rsid w:val="0B2D6DE1"/>
    <w:rsid w:val="0B2F33DA"/>
    <w:rsid w:val="0B3A20FE"/>
    <w:rsid w:val="0B424EA3"/>
    <w:rsid w:val="0B5B0811"/>
    <w:rsid w:val="0B8A37BE"/>
    <w:rsid w:val="0B8A78B3"/>
    <w:rsid w:val="0B952948"/>
    <w:rsid w:val="0BBB0752"/>
    <w:rsid w:val="0BBF171C"/>
    <w:rsid w:val="0BE405D3"/>
    <w:rsid w:val="0BE62D3E"/>
    <w:rsid w:val="0C164CF1"/>
    <w:rsid w:val="0C1B066E"/>
    <w:rsid w:val="0C1C191F"/>
    <w:rsid w:val="0C1C686A"/>
    <w:rsid w:val="0C4337FC"/>
    <w:rsid w:val="0C4F3232"/>
    <w:rsid w:val="0C703E7D"/>
    <w:rsid w:val="0C766A8B"/>
    <w:rsid w:val="0C864982"/>
    <w:rsid w:val="0C8E78CD"/>
    <w:rsid w:val="0CA60117"/>
    <w:rsid w:val="0CAC1CF3"/>
    <w:rsid w:val="0CC9768A"/>
    <w:rsid w:val="0CCF1E03"/>
    <w:rsid w:val="0CD37E84"/>
    <w:rsid w:val="0CDA3AC0"/>
    <w:rsid w:val="0CE124B7"/>
    <w:rsid w:val="0CE14E0C"/>
    <w:rsid w:val="0CE938FD"/>
    <w:rsid w:val="0D053E9B"/>
    <w:rsid w:val="0D07125D"/>
    <w:rsid w:val="0D173D97"/>
    <w:rsid w:val="0D235343"/>
    <w:rsid w:val="0D4634C8"/>
    <w:rsid w:val="0D572445"/>
    <w:rsid w:val="0D5A13B9"/>
    <w:rsid w:val="0D7868DC"/>
    <w:rsid w:val="0D932A25"/>
    <w:rsid w:val="0D9404CD"/>
    <w:rsid w:val="0D97308F"/>
    <w:rsid w:val="0D9A08BD"/>
    <w:rsid w:val="0D9B58FF"/>
    <w:rsid w:val="0DA257C7"/>
    <w:rsid w:val="0DB849FA"/>
    <w:rsid w:val="0DD86F8D"/>
    <w:rsid w:val="0DE324E5"/>
    <w:rsid w:val="0DFB6520"/>
    <w:rsid w:val="0E044E12"/>
    <w:rsid w:val="0E082C3D"/>
    <w:rsid w:val="0E0D0550"/>
    <w:rsid w:val="0E261D1E"/>
    <w:rsid w:val="0E4E22C5"/>
    <w:rsid w:val="0E4F7120"/>
    <w:rsid w:val="0E866217"/>
    <w:rsid w:val="0E9142F8"/>
    <w:rsid w:val="0EA326FD"/>
    <w:rsid w:val="0EAC7C79"/>
    <w:rsid w:val="0EB005A5"/>
    <w:rsid w:val="0EB948BB"/>
    <w:rsid w:val="0EC45E12"/>
    <w:rsid w:val="0EC60395"/>
    <w:rsid w:val="0EE31E0D"/>
    <w:rsid w:val="0EE94874"/>
    <w:rsid w:val="0EE97687"/>
    <w:rsid w:val="0EFA5E89"/>
    <w:rsid w:val="0F1254C3"/>
    <w:rsid w:val="0F285EE9"/>
    <w:rsid w:val="0F297B08"/>
    <w:rsid w:val="0F2F7C29"/>
    <w:rsid w:val="0F36489C"/>
    <w:rsid w:val="0F3E679F"/>
    <w:rsid w:val="0F4B3893"/>
    <w:rsid w:val="0F507E45"/>
    <w:rsid w:val="0F603009"/>
    <w:rsid w:val="0F653854"/>
    <w:rsid w:val="0F8354BA"/>
    <w:rsid w:val="0F8B760C"/>
    <w:rsid w:val="0FA94A2C"/>
    <w:rsid w:val="0FB241C4"/>
    <w:rsid w:val="0FB37245"/>
    <w:rsid w:val="0FBB7571"/>
    <w:rsid w:val="0FD13F0F"/>
    <w:rsid w:val="100A6DE3"/>
    <w:rsid w:val="100E35C4"/>
    <w:rsid w:val="101E063C"/>
    <w:rsid w:val="10250482"/>
    <w:rsid w:val="1025378B"/>
    <w:rsid w:val="10393537"/>
    <w:rsid w:val="103A00BA"/>
    <w:rsid w:val="1049290F"/>
    <w:rsid w:val="106B22C4"/>
    <w:rsid w:val="10B16A77"/>
    <w:rsid w:val="10B67054"/>
    <w:rsid w:val="10D4723F"/>
    <w:rsid w:val="10D75378"/>
    <w:rsid w:val="10DE75A0"/>
    <w:rsid w:val="10ED23AE"/>
    <w:rsid w:val="10F9021B"/>
    <w:rsid w:val="10FF1919"/>
    <w:rsid w:val="11294FD0"/>
    <w:rsid w:val="11444313"/>
    <w:rsid w:val="11552B08"/>
    <w:rsid w:val="11640503"/>
    <w:rsid w:val="11662ABD"/>
    <w:rsid w:val="116B3DA9"/>
    <w:rsid w:val="117B1E92"/>
    <w:rsid w:val="117E1323"/>
    <w:rsid w:val="11B27BC3"/>
    <w:rsid w:val="11BA6A20"/>
    <w:rsid w:val="11C76123"/>
    <w:rsid w:val="11D85B41"/>
    <w:rsid w:val="11EA1F45"/>
    <w:rsid w:val="12037E12"/>
    <w:rsid w:val="1211197D"/>
    <w:rsid w:val="123F07D3"/>
    <w:rsid w:val="124A0F21"/>
    <w:rsid w:val="124F7CB4"/>
    <w:rsid w:val="1256549B"/>
    <w:rsid w:val="127156AC"/>
    <w:rsid w:val="128E43D3"/>
    <w:rsid w:val="12B54FC9"/>
    <w:rsid w:val="12D56B87"/>
    <w:rsid w:val="12E02B8D"/>
    <w:rsid w:val="12EC73F5"/>
    <w:rsid w:val="12FD0EFE"/>
    <w:rsid w:val="131D1C67"/>
    <w:rsid w:val="133F2FFB"/>
    <w:rsid w:val="134407A5"/>
    <w:rsid w:val="13547A87"/>
    <w:rsid w:val="13646000"/>
    <w:rsid w:val="136C6736"/>
    <w:rsid w:val="13750A40"/>
    <w:rsid w:val="13773C44"/>
    <w:rsid w:val="13877336"/>
    <w:rsid w:val="13883F87"/>
    <w:rsid w:val="139F29A2"/>
    <w:rsid w:val="13A2666C"/>
    <w:rsid w:val="13A57D44"/>
    <w:rsid w:val="13A74F22"/>
    <w:rsid w:val="13AE1DDF"/>
    <w:rsid w:val="13C06C05"/>
    <w:rsid w:val="13C77BBE"/>
    <w:rsid w:val="13C851A5"/>
    <w:rsid w:val="13EA2182"/>
    <w:rsid w:val="13F37A27"/>
    <w:rsid w:val="14015EB6"/>
    <w:rsid w:val="14195246"/>
    <w:rsid w:val="141F72D4"/>
    <w:rsid w:val="148F5499"/>
    <w:rsid w:val="14950C1F"/>
    <w:rsid w:val="14C5565A"/>
    <w:rsid w:val="15167233"/>
    <w:rsid w:val="15215821"/>
    <w:rsid w:val="15260E4C"/>
    <w:rsid w:val="152D58EC"/>
    <w:rsid w:val="153377BD"/>
    <w:rsid w:val="1535034F"/>
    <w:rsid w:val="15417D46"/>
    <w:rsid w:val="154B4FF5"/>
    <w:rsid w:val="15514EA1"/>
    <w:rsid w:val="155C6E89"/>
    <w:rsid w:val="15636D6B"/>
    <w:rsid w:val="15682ABD"/>
    <w:rsid w:val="156D0581"/>
    <w:rsid w:val="158F4DCC"/>
    <w:rsid w:val="15AA7600"/>
    <w:rsid w:val="15BB53F1"/>
    <w:rsid w:val="15DC1FD6"/>
    <w:rsid w:val="15DF6F2C"/>
    <w:rsid w:val="16262C9F"/>
    <w:rsid w:val="162852CA"/>
    <w:rsid w:val="1632705E"/>
    <w:rsid w:val="16424512"/>
    <w:rsid w:val="164C738A"/>
    <w:rsid w:val="16576A8B"/>
    <w:rsid w:val="16657FBA"/>
    <w:rsid w:val="168D2D92"/>
    <w:rsid w:val="16A244D6"/>
    <w:rsid w:val="16BD2C09"/>
    <w:rsid w:val="16CB5AD8"/>
    <w:rsid w:val="16E456FF"/>
    <w:rsid w:val="16E53EB5"/>
    <w:rsid w:val="16F07840"/>
    <w:rsid w:val="170E2DA3"/>
    <w:rsid w:val="17127034"/>
    <w:rsid w:val="17444FA8"/>
    <w:rsid w:val="175D256E"/>
    <w:rsid w:val="177A6D61"/>
    <w:rsid w:val="178136BB"/>
    <w:rsid w:val="17895C92"/>
    <w:rsid w:val="178A37D7"/>
    <w:rsid w:val="1790157A"/>
    <w:rsid w:val="179020C7"/>
    <w:rsid w:val="17966CEC"/>
    <w:rsid w:val="179A1DEF"/>
    <w:rsid w:val="17A555B8"/>
    <w:rsid w:val="17CB085E"/>
    <w:rsid w:val="17D21EE7"/>
    <w:rsid w:val="17F05511"/>
    <w:rsid w:val="180A4D95"/>
    <w:rsid w:val="181334CF"/>
    <w:rsid w:val="18190376"/>
    <w:rsid w:val="181E6930"/>
    <w:rsid w:val="18240B29"/>
    <w:rsid w:val="18243384"/>
    <w:rsid w:val="18252543"/>
    <w:rsid w:val="1830626F"/>
    <w:rsid w:val="183B65B0"/>
    <w:rsid w:val="18522F3E"/>
    <w:rsid w:val="185662B2"/>
    <w:rsid w:val="18613B1D"/>
    <w:rsid w:val="186A3C70"/>
    <w:rsid w:val="186E1814"/>
    <w:rsid w:val="18744E58"/>
    <w:rsid w:val="188E6EAD"/>
    <w:rsid w:val="189461F2"/>
    <w:rsid w:val="1898178E"/>
    <w:rsid w:val="189A1F5D"/>
    <w:rsid w:val="18A87920"/>
    <w:rsid w:val="18BE62D3"/>
    <w:rsid w:val="18C1717D"/>
    <w:rsid w:val="18C5541F"/>
    <w:rsid w:val="18D007EB"/>
    <w:rsid w:val="1904709C"/>
    <w:rsid w:val="194C1141"/>
    <w:rsid w:val="196179DE"/>
    <w:rsid w:val="19695542"/>
    <w:rsid w:val="19743C6A"/>
    <w:rsid w:val="198100E7"/>
    <w:rsid w:val="19913F4B"/>
    <w:rsid w:val="1993317E"/>
    <w:rsid w:val="199950D1"/>
    <w:rsid w:val="19A76D37"/>
    <w:rsid w:val="19D77421"/>
    <w:rsid w:val="19E2752F"/>
    <w:rsid w:val="19E50252"/>
    <w:rsid w:val="19F34A0F"/>
    <w:rsid w:val="19F62271"/>
    <w:rsid w:val="1A0B1CAE"/>
    <w:rsid w:val="1A0F3601"/>
    <w:rsid w:val="1A1450D4"/>
    <w:rsid w:val="1A2D1773"/>
    <w:rsid w:val="1A2F1A8D"/>
    <w:rsid w:val="1A2F5A0F"/>
    <w:rsid w:val="1A3E328E"/>
    <w:rsid w:val="1A405546"/>
    <w:rsid w:val="1A923811"/>
    <w:rsid w:val="1A960DD5"/>
    <w:rsid w:val="1AB62CBF"/>
    <w:rsid w:val="1ABC00D4"/>
    <w:rsid w:val="1ACA6A76"/>
    <w:rsid w:val="1ACC0A7F"/>
    <w:rsid w:val="1AD37570"/>
    <w:rsid w:val="1B001DC7"/>
    <w:rsid w:val="1B0F0D95"/>
    <w:rsid w:val="1B142AB1"/>
    <w:rsid w:val="1B380CC5"/>
    <w:rsid w:val="1B7F1D9B"/>
    <w:rsid w:val="1B801998"/>
    <w:rsid w:val="1B843A86"/>
    <w:rsid w:val="1B9152E5"/>
    <w:rsid w:val="1BA070AE"/>
    <w:rsid w:val="1BA33011"/>
    <w:rsid w:val="1BA71AC2"/>
    <w:rsid w:val="1BD53FAB"/>
    <w:rsid w:val="1BE94912"/>
    <w:rsid w:val="1BF25D55"/>
    <w:rsid w:val="1BFA27ED"/>
    <w:rsid w:val="1BFC0D26"/>
    <w:rsid w:val="1C003643"/>
    <w:rsid w:val="1C5128ED"/>
    <w:rsid w:val="1C855800"/>
    <w:rsid w:val="1CAD0482"/>
    <w:rsid w:val="1CBB284D"/>
    <w:rsid w:val="1CC20474"/>
    <w:rsid w:val="1CE61D7B"/>
    <w:rsid w:val="1D0A352B"/>
    <w:rsid w:val="1D105523"/>
    <w:rsid w:val="1D28523E"/>
    <w:rsid w:val="1D6009DE"/>
    <w:rsid w:val="1DA9011D"/>
    <w:rsid w:val="1DCA24F0"/>
    <w:rsid w:val="1DD464C0"/>
    <w:rsid w:val="1DD47849"/>
    <w:rsid w:val="1DEF2254"/>
    <w:rsid w:val="1E153F8F"/>
    <w:rsid w:val="1E171157"/>
    <w:rsid w:val="1E1B63DF"/>
    <w:rsid w:val="1E222120"/>
    <w:rsid w:val="1E4C4D79"/>
    <w:rsid w:val="1E6540E6"/>
    <w:rsid w:val="1E673CF9"/>
    <w:rsid w:val="1E7D44F3"/>
    <w:rsid w:val="1E8F61E9"/>
    <w:rsid w:val="1E93345E"/>
    <w:rsid w:val="1EA56E22"/>
    <w:rsid w:val="1EB80045"/>
    <w:rsid w:val="1EB86B32"/>
    <w:rsid w:val="1ED06007"/>
    <w:rsid w:val="1ED6454B"/>
    <w:rsid w:val="1EED7337"/>
    <w:rsid w:val="1F305FD1"/>
    <w:rsid w:val="1F417493"/>
    <w:rsid w:val="1F484574"/>
    <w:rsid w:val="1F4C1203"/>
    <w:rsid w:val="1F4C7C57"/>
    <w:rsid w:val="1F5229A9"/>
    <w:rsid w:val="1F5C42C1"/>
    <w:rsid w:val="1F6907A2"/>
    <w:rsid w:val="1F7571AC"/>
    <w:rsid w:val="1FA23A14"/>
    <w:rsid w:val="1FBE4F19"/>
    <w:rsid w:val="1FCF4AE7"/>
    <w:rsid w:val="1FD6673B"/>
    <w:rsid w:val="1FDA35B6"/>
    <w:rsid w:val="1FDB47F3"/>
    <w:rsid w:val="1FF56B98"/>
    <w:rsid w:val="1FFE4393"/>
    <w:rsid w:val="2006783D"/>
    <w:rsid w:val="200A2016"/>
    <w:rsid w:val="2016749A"/>
    <w:rsid w:val="201B353C"/>
    <w:rsid w:val="2036344B"/>
    <w:rsid w:val="203C0B22"/>
    <w:rsid w:val="20471839"/>
    <w:rsid w:val="20724D15"/>
    <w:rsid w:val="208063FE"/>
    <w:rsid w:val="208A4F7E"/>
    <w:rsid w:val="20EC42F3"/>
    <w:rsid w:val="20EE36E2"/>
    <w:rsid w:val="20FD27DA"/>
    <w:rsid w:val="211C2BD4"/>
    <w:rsid w:val="212466CC"/>
    <w:rsid w:val="212E7BEE"/>
    <w:rsid w:val="214562BB"/>
    <w:rsid w:val="216F39C6"/>
    <w:rsid w:val="217D1D4A"/>
    <w:rsid w:val="21874B89"/>
    <w:rsid w:val="21A30A2D"/>
    <w:rsid w:val="21A51D40"/>
    <w:rsid w:val="21AC260D"/>
    <w:rsid w:val="21B25A3D"/>
    <w:rsid w:val="21B945B5"/>
    <w:rsid w:val="21C726A1"/>
    <w:rsid w:val="21CD331E"/>
    <w:rsid w:val="21D2165D"/>
    <w:rsid w:val="21FA1850"/>
    <w:rsid w:val="220805B3"/>
    <w:rsid w:val="22261FBF"/>
    <w:rsid w:val="225A6709"/>
    <w:rsid w:val="22690510"/>
    <w:rsid w:val="226D63CE"/>
    <w:rsid w:val="22710E19"/>
    <w:rsid w:val="227431B9"/>
    <w:rsid w:val="22E179AD"/>
    <w:rsid w:val="22E17CEA"/>
    <w:rsid w:val="22EE2269"/>
    <w:rsid w:val="23186A25"/>
    <w:rsid w:val="23187A5A"/>
    <w:rsid w:val="231F68A2"/>
    <w:rsid w:val="232866A3"/>
    <w:rsid w:val="232918BA"/>
    <w:rsid w:val="233D294C"/>
    <w:rsid w:val="23594C22"/>
    <w:rsid w:val="235C6BC4"/>
    <w:rsid w:val="23684F03"/>
    <w:rsid w:val="236E3E58"/>
    <w:rsid w:val="237D59E2"/>
    <w:rsid w:val="238D39AA"/>
    <w:rsid w:val="23A70B7C"/>
    <w:rsid w:val="23B958F0"/>
    <w:rsid w:val="23CD3190"/>
    <w:rsid w:val="23E760AA"/>
    <w:rsid w:val="23F61601"/>
    <w:rsid w:val="2406543D"/>
    <w:rsid w:val="24082061"/>
    <w:rsid w:val="240C6718"/>
    <w:rsid w:val="243F4AFB"/>
    <w:rsid w:val="244021F4"/>
    <w:rsid w:val="24782E54"/>
    <w:rsid w:val="24823F68"/>
    <w:rsid w:val="24864BC9"/>
    <w:rsid w:val="248B3648"/>
    <w:rsid w:val="249D7547"/>
    <w:rsid w:val="249E1152"/>
    <w:rsid w:val="24A62054"/>
    <w:rsid w:val="24B54931"/>
    <w:rsid w:val="24BB27CC"/>
    <w:rsid w:val="24D87E82"/>
    <w:rsid w:val="24F62CF1"/>
    <w:rsid w:val="25100B18"/>
    <w:rsid w:val="254F0CFC"/>
    <w:rsid w:val="25567FE0"/>
    <w:rsid w:val="255A55BD"/>
    <w:rsid w:val="255B11CE"/>
    <w:rsid w:val="256A2792"/>
    <w:rsid w:val="25925329"/>
    <w:rsid w:val="25BB2C16"/>
    <w:rsid w:val="25CA1425"/>
    <w:rsid w:val="25E4271A"/>
    <w:rsid w:val="26014894"/>
    <w:rsid w:val="26051DD7"/>
    <w:rsid w:val="260A0F74"/>
    <w:rsid w:val="26144F2D"/>
    <w:rsid w:val="26241862"/>
    <w:rsid w:val="26247054"/>
    <w:rsid w:val="262A1F6C"/>
    <w:rsid w:val="2632213A"/>
    <w:rsid w:val="263C58FC"/>
    <w:rsid w:val="26437E4A"/>
    <w:rsid w:val="264C5297"/>
    <w:rsid w:val="2662708A"/>
    <w:rsid w:val="26860A55"/>
    <w:rsid w:val="268B180F"/>
    <w:rsid w:val="268E41E9"/>
    <w:rsid w:val="268E7794"/>
    <w:rsid w:val="26A05A96"/>
    <w:rsid w:val="26AD3871"/>
    <w:rsid w:val="26C23226"/>
    <w:rsid w:val="26E91F19"/>
    <w:rsid w:val="270B4276"/>
    <w:rsid w:val="27417F3F"/>
    <w:rsid w:val="275B2409"/>
    <w:rsid w:val="278A7FC2"/>
    <w:rsid w:val="27B03CC2"/>
    <w:rsid w:val="27B53EE7"/>
    <w:rsid w:val="27B610DC"/>
    <w:rsid w:val="27C7144A"/>
    <w:rsid w:val="27E271D6"/>
    <w:rsid w:val="27E83F18"/>
    <w:rsid w:val="27F47329"/>
    <w:rsid w:val="28036255"/>
    <w:rsid w:val="2805354E"/>
    <w:rsid w:val="2818134C"/>
    <w:rsid w:val="281A1094"/>
    <w:rsid w:val="28304855"/>
    <w:rsid w:val="2849595F"/>
    <w:rsid w:val="284D4926"/>
    <w:rsid w:val="284E36FB"/>
    <w:rsid w:val="286B0934"/>
    <w:rsid w:val="287B0A6C"/>
    <w:rsid w:val="288850DD"/>
    <w:rsid w:val="28A27A02"/>
    <w:rsid w:val="28A72588"/>
    <w:rsid w:val="28B54966"/>
    <w:rsid w:val="28B70084"/>
    <w:rsid w:val="28E25918"/>
    <w:rsid w:val="28F07276"/>
    <w:rsid w:val="290155D6"/>
    <w:rsid w:val="290C599B"/>
    <w:rsid w:val="29192063"/>
    <w:rsid w:val="292A73E3"/>
    <w:rsid w:val="29306417"/>
    <w:rsid w:val="294D75F2"/>
    <w:rsid w:val="29620726"/>
    <w:rsid w:val="2988022B"/>
    <w:rsid w:val="298C5E6D"/>
    <w:rsid w:val="29B53423"/>
    <w:rsid w:val="29E50658"/>
    <w:rsid w:val="29E55FD4"/>
    <w:rsid w:val="29FB1223"/>
    <w:rsid w:val="2A3173ED"/>
    <w:rsid w:val="2A5F36EA"/>
    <w:rsid w:val="2A684B5A"/>
    <w:rsid w:val="2A6B6A3F"/>
    <w:rsid w:val="2A6D3AAC"/>
    <w:rsid w:val="2A8A4067"/>
    <w:rsid w:val="2AA25430"/>
    <w:rsid w:val="2AA451B1"/>
    <w:rsid w:val="2AB26940"/>
    <w:rsid w:val="2ABD2C23"/>
    <w:rsid w:val="2AC02772"/>
    <w:rsid w:val="2ACD1797"/>
    <w:rsid w:val="2AD53C30"/>
    <w:rsid w:val="2ADA275B"/>
    <w:rsid w:val="2AE54DA3"/>
    <w:rsid w:val="2AE61FCB"/>
    <w:rsid w:val="2AE8122B"/>
    <w:rsid w:val="2AEC7161"/>
    <w:rsid w:val="2AED61EB"/>
    <w:rsid w:val="2AF32938"/>
    <w:rsid w:val="2AF80991"/>
    <w:rsid w:val="2AFC1F2C"/>
    <w:rsid w:val="2B347955"/>
    <w:rsid w:val="2B352E97"/>
    <w:rsid w:val="2B4A44B2"/>
    <w:rsid w:val="2B710407"/>
    <w:rsid w:val="2B8745D1"/>
    <w:rsid w:val="2B9565F9"/>
    <w:rsid w:val="2BA6617F"/>
    <w:rsid w:val="2BAE547D"/>
    <w:rsid w:val="2BBF3325"/>
    <w:rsid w:val="2BCD1A9C"/>
    <w:rsid w:val="2BE10518"/>
    <w:rsid w:val="2BE90754"/>
    <w:rsid w:val="2BEE0A8B"/>
    <w:rsid w:val="2BF57C48"/>
    <w:rsid w:val="2BF94D9A"/>
    <w:rsid w:val="2C27382A"/>
    <w:rsid w:val="2C2C04EC"/>
    <w:rsid w:val="2C2F7299"/>
    <w:rsid w:val="2C5131F4"/>
    <w:rsid w:val="2C5719A5"/>
    <w:rsid w:val="2C5B7205"/>
    <w:rsid w:val="2C6B767A"/>
    <w:rsid w:val="2C714EC2"/>
    <w:rsid w:val="2C724DFE"/>
    <w:rsid w:val="2C827C09"/>
    <w:rsid w:val="2C8C2667"/>
    <w:rsid w:val="2C9E6CD5"/>
    <w:rsid w:val="2CA70E20"/>
    <w:rsid w:val="2CB50B19"/>
    <w:rsid w:val="2CB82204"/>
    <w:rsid w:val="2CC46C05"/>
    <w:rsid w:val="2CC629ED"/>
    <w:rsid w:val="2CC9399A"/>
    <w:rsid w:val="2CCC5589"/>
    <w:rsid w:val="2D2A0C7B"/>
    <w:rsid w:val="2D342B82"/>
    <w:rsid w:val="2D485CDD"/>
    <w:rsid w:val="2D4B28B1"/>
    <w:rsid w:val="2D602A60"/>
    <w:rsid w:val="2D626216"/>
    <w:rsid w:val="2D675D82"/>
    <w:rsid w:val="2D702906"/>
    <w:rsid w:val="2D862CE5"/>
    <w:rsid w:val="2DA6047D"/>
    <w:rsid w:val="2DA87331"/>
    <w:rsid w:val="2DA97299"/>
    <w:rsid w:val="2DB17E61"/>
    <w:rsid w:val="2DBB7E6C"/>
    <w:rsid w:val="2DD0627C"/>
    <w:rsid w:val="2DDF061E"/>
    <w:rsid w:val="2DDF4F94"/>
    <w:rsid w:val="2DF55BA1"/>
    <w:rsid w:val="2E09307D"/>
    <w:rsid w:val="2E0D794E"/>
    <w:rsid w:val="2E122939"/>
    <w:rsid w:val="2E264CD9"/>
    <w:rsid w:val="2E372724"/>
    <w:rsid w:val="2E456C6F"/>
    <w:rsid w:val="2E5727AB"/>
    <w:rsid w:val="2E702CF1"/>
    <w:rsid w:val="2E8432FB"/>
    <w:rsid w:val="2EA9702C"/>
    <w:rsid w:val="2EAB1951"/>
    <w:rsid w:val="2EC274BA"/>
    <w:rsid w:val="2EC90208"/>
    <w:rsid w:val="2ED411B2"/>
    <w:rsid w:val="2EDB02ED"/>
    <w:rsid w:val="2EF062E4"/>
    <w:rsid w:val="2EF966F4"/>
    <w:rsid w:val="2F05189C"/>
    <w:rsid w:val="2F071B17"/>
    <w:rsid w:val="2F1864FF"/>
    <w:rsid w:val="2F271738"/>
    <w:rsid w:val="2F281A55"/>
    <w:rsid w:val="2F2C36AF"/>
    <w:rsid w:val="2F4A7DBB"/>
    <w:rsid w:val="2F500A6E"/>
    <w:rsid w:val="2F6641D2"/>
    <w:rsid w:val="2F8153E5"/>
    <w:rsid w:val="2F9556BE"/>
    <w:rsid w:val="2F9D382B"/>
    <w:rsid w:val="2FA86486"/>
    <w:rsid w:val="2FAD693E"/>
    <w:rsid w:val="2FC63A53"/>
    <w:rsid w:val="2FD45510"/>
    <w:rsid w:val="2FD62DF7"/>
    <w:rsid w:val="2FD82358"/>
    <w:rsid w:val="2FD84B46"/>
    <w:rsid w:val="2FEA6450"/>
    <w:rsid w:val="2FF8319E"/>
    <w:rsid w:val="30022F35"/>
    <w:rsid w:val="3006694A"/>
    <w:rsid w:val="300E2BA1"/>
    <w:rsid w:val="302F5E1F"/>
    <w:rsid w:val="303D7896"/>
    <w:rsid w:val="30413DA9"/>
    <w:rsid w:val="309E7042"/>
    <w:rsid w:val="30C25E02"/>
    <w:rsid w:val="30C7629F"/>
    <w:rsid w:val="30EB5E53"/>
    <w:rsid w:val="314167A9"/>
    <w:rsid w:val="315E755E"/>
    <w:rsid w:val="317F7C21"/>
    <w:rsid w:val="31823465"/>
    <w:rsid w:val="318361D4"/>
    <w:rsid w:val="318C0EB4"/>
    <w:rsid w:val="31934072"/>
    <w:rsid w:val="319462EC"/>
    <w:rsid w:val="31A46564"/>
    <w:rsid w:val="31A46B95"/>
    <w:rsid w:val="31AE003F"/>
    <w:rsid w:val="31CD275A"/>
    <w:rsid w:val="31D33898"/>
    <w:rsid w:val="31D618C3"/>
    <w:rsid w:val="31D72477"/>
    <w:rsid w:val="31EC4CC6"/>
    <w:rsid w:val="31EF586B"/>
    <w:rsid w:val="32133CEA"/>
    <w:rsid w:val="32277505"/>
    <w:rsid w:val="322E0AD6"/>
    <w:rsid w:val="323B602A"/>
    <w:rsid w:val="32444A3B"/>
    <w:rsid w:val="3244649B"/>
    <w:rsid w:val="3247480B"/>
    <w:rsid w:val="32475B48"/>
    <w:rsid w:val="32652705"/>
    <w:rsid w:val="327554BE"/>
    <w:rsid w:val="327C1D62"/>
    <w:rsid w:val="3288080F"/>
    <w:rsid w:val="32A17B42"/>
    <w:rsid w:val="32AC3626"/>
    <w:rsid w:val="32B21377"/>
    <w:rsid w:val="32C571D5"/>
    <w:rsid w:val="32D855C5"/>
    <w:rsid w:val="32EC28E7"/>
    <w:rsid w:val="32F32BCF"/>
    <w:rsid w:val="331B4D19"/>
    <w:rsid w:val="332007E8"/>
    <w:rsid w:val="333B0EA6"/>
    <w:rsid w:val="333E1552"/>
    <w:rsid w:val="3349742F"/>
    <w:rsid w:val="335356D5"/>
    <w:rsid w:val="3358105F"/>
    <w:rsid w:val="335D40BC"/>
    <w:rsid w:val="335F412B"/>
    <w:rsid w:val="337E54B8"/>
    <w:rsid w:val="339639DB"/>
    <w:rsid w:val="33997D8D"/>
    <w:rsid w:val="33B77BD6"/>
    <w:rsid w:val="33BC7F15"/>
    <w:rsid w:val="33D309B0"/>
    <w:rsid w:val="33F0031F"/>
    <w:rsid w:val="33F740E3"/>
    <w:rsid w:val="33FD5BB0"/>
    <w:rsid w:val="340A6F81"/>
    <w:rsid w:val="34307C62"/>
    <w:rsid w:val="3433581D"/>
    <w:rsid w:val="34385EB8"/>
    <w:rsid w:val="34432AF9"/>
    <w:rsid w:val="344E3030"/>
    <w:rsid w:val="345D282E"/>
    <w:rsid w:val="346E4CA7"/>
    <w:rsid w:val="346F65AF"/>
    <w:rsid w:val="3476271A"/>
    <w:rsid w:val="347A6466"/>
    <w:rsid w:val="347B03C0"/>
    <w:rsid w:val="347E6B85"/>
    <w:rsid w:val="349B4D2C"/>
    <w:rsid w:val="34A25600"/>
    <w:rsid w:val="34A4799F"/>
    <w:rsid w:val="34AC0F31"/>
    <w:rsid w:val="34AD66AC"/>
    <w:rsid w:val="34DB4E39"/>
    <w:rsid w:val="34E34759"/>
    <w:rsid w:val="34EC581A"/>
    <w:rsid w:val="34F24DD5"/>
    <w:rsid w:val="34F41EBF"/>
    <w:rsid w:val="350B0E48"/>
    <w:rsid w:val="350C127C"/>
    <w:rsid w:val="35205D26"/>
    <w:rsid w:val="35381334"/>
    <w:rsid w:val="354758A3"/>
    <w:rsid w:val="35592AFA"/>
    <w:rsid w:val="35812660"/>
    <w:rsid w:val="35955153"/>
    <w:rsid w:val="35BF2A69"/>
    <w:rsid w:val="35C95CDA"/>
    <w:rsid w:val="35CA5BAC"/>
    <w:rsid w:val="35DC1A4D"/>
    <w:rsid w:val="35E57922"/>
    <w:rsid w:val="35E63E8F"/>
    <w:rsid w:val="35E84218"/>
    <w:rsid w:val="35EB7BB9"/>
    <w:rsid w:val="35ED4AA1"/>
    <w:rsid w:val="35EE320F"/>
    <w:rsid w:val="35F037BE"/>
    <w:rsid w:val="360E3996"/>
    <w:rsid w:val="36227321"/>
    <w:rsid w:val="362D7134"/>
    <w:rsid w:val="363609F0"/>
    <w:rsid w:val="363615CD"/>
    <w:rsid w:val="363C7371"/>
    <w:rsid w:val="36401202"/>
    <w:rsid w:val="364A0C7E"/>
    <w:rsid w:val="36616052"/>
    <w:rsid w:val="36617B66"/>
    <w:rsid w:val="3684166E"/>
    <w:rsid w:val="36A56EEC"/>
    <w:rsid w:val="36B131E3"/>
    <w:rsid w:val="36B32BF2"/>
    <w:rsid w:val="36BC35FF"/>
    <w:rsid w:val="36BF056E"/>
    <w:rsid w:val="36DD0CBC"/>
    <w:rsid w:val="371B3FF8"/>
    <w:rsid w:val="371B4516"/>
    <w:rsid w:val="371D7BCE"/>
    <w:rsid w:val="371E47C1"/>
    <w:rsid w:val="372565EC"/>
    <w:rsid w:val="376F2B98"/>
    <w:rsid w:val="377C098C"/>
    <w:rsid w:val="37AE19A9"/>
    <w:rsid w:val="37B94BDD"/>
    <w:rsid w:val="37C12B8F"/>
    <w:rsid w:val="37E77758"/>
    <w:rsid w:val="37F05C05"/>
    <w:rsid w:val="38011B96"/>
    <w:rsid w:val="38093D26"/>
    <w:rsid w:val="380C4EA1"/>
    <w:rsid w:val="383B5E46"/>
    <w:rsid w:val="38602638"/>
    <w:rsid w:val="387C4B80"/>
    <w:rsid w:val="38861104"/>
    <w:rsid w:val="38BC5E6A"/>
    <w:rsid w:val="38D93088"/>
    <w:rsid w:val="38E254E9"/>
    <w:rsid w:val="38E71BE0"/>
    <w:rsid w:val="38EF3DC9"/>
    <w:rsid w:val="391425A8"/>
    <w:rsid w:val="391D6D33"/>
    <w:rsid w:val="392D6CC0"/>
    <w:rsid w:val="3938331B"/>
    <w:rsid w:val="39597F26"/>
    <w:rsid w:val="39855825"/>
    <w:rsid w:val="39953AE0"/>
    <w:rsid w:val="39B16161"/>
    <w:rsid w:val="39B443D8"/>
    <w:rsid w:val="39BB0B4F"/>
    <w:rsid w:val="39BE1B64"/>
    <w:rsid w:val="39C476A5"/>
    <w:rsid w:val="39C86E95"/>
    <w:rsid w:val="39F21A64"/>
    <w:rsid w:val="39FA0C0A"/>
    <w:rsid w:val="3A060042"/>
    <w:rsid w:val="3A185668"/>
    <w:rsid w:val="3A2879E1"/>
    <w:rsid w:val="3A3E221A"/>
    <w:rsid w:val="3A3F6CC6"/>
    <w:rsid w:val="3A457050"/>
    <w:rsid w:val="3A6218AB"/>
    <w:rsid w:val="3A6E240F"/>
    <w:rsid w:val="3A6F6A8F"/>
    <w:rsid w:val="3A744E34"/>
    <w:rsid w:val="3A7E721E"/>
    <w:rsid w:val="3A86226A"/>
    <w:rsid w:val="3AA109A0"/>
    <w:rsid w:val="3AB90F72"/>
    <w:rsid w:val="3AEC3E9D"/>
    <w:rsid w:val="3B06739F"/>
    <w:rsid w:val="3B0B4BE4"/>
    <w:rsid w:val="3B286F9D"/>
    <w:rsid w:val="3B2B4860"/>
    <w:rsid w:val="3B485DFC"/>
    <w:rsid w:val="3B4C3217"/>
    <w:rsid w:val="3B5B4451"/>
    <w:rsid w:val="3B767C77"/>
    <w:rsid w:val="3B920991"/>
    <w:rsid w:val="3BB56FE2"/>
    <w:rsid w:val="3BC35D71"/>
    <w:rsid w:val="3BCF6E30"/>
    <w:rsid w:val="3BFD6B30"/>
    <w:rsid w:val="3BFE3910"/>
    <w:rsid w:val="3C470822"/>
    <w:rsid w:val="3C607F99"/>
    <w:rsid w:val="3C6D1D97"/>
    <w:rsid w:val="3C731D3A"/>
    <w:rsid w:val="3C7A2A4B"/>
    <w:rsid w:val="3C7C75CF"/>
    <w:rsid w:val="3C7D36AA"/>
    <w:rsid w:val="3C875F2D"/>
    <w:rsid w:val="3CA246DF"/>
    <w:rsid w:val="3CCC6FD6"/>
    <w:rsid w:val="3CE32587"/>
    <w:rsid w:val="3CF77491"/>
    <w:rsid w:val="3CFB7F00"/>
    <w:rsid w:val="3D046A73"/>
    <w:rsid w:val="3D194B4B"/>
    <w:rsid w:val="3D310DB2"/>
    <w:rsid w:val="3D39061E"/>
    <w:rsid w:val="3D423807"/>
    <w:rsid w:val="3D5239AB"/>
    <w:rsid w:val="3DAD219D"/>
    <w:rsid w:val="3DBD2960"/>
    <w:rsid w:val="3DC84075"/>
    <w:rsid w:val="3DD00516"/>
    <w:rsid w:val="3DDB30D4"/>
    <w:rsid w:val="3DE274B8"/>
    <w:rsid w:val="3DFD7F6E"/>
    <w:rsid w:val="3DFF3CC4"/>
    <w:rsid w:val="3E3A1152"/>
    <w:rsid w:val="3E4F64AA"/>
    <w:rsid w:val="3E5C1407"/>
    <w:rsid w:val="3E68065A"/>
    <w:rsid w:val="3EBD1742"/>
    <w:rsid w:val="3EC82ED2"/>
    <w:rsid w:val="3ED836DC"/>
    <w:rsid w:val="3EE736F6"/>
    <w:rsid w:val="3EE75348"/>
    <w:rsid w:val="3EFA01AB"/>
    <w:rsid w:val="3EFE1BDD"/>
    <w:rsid w:val="3F0B40F9"/>
    <w:rsid w:val="3F142BC3"/>
    <w:rsid w:val="3F220BEB"/>
    <w:rsid w:val="3F375D81"/>
    <w:rsid w:val="3F450E5B"/>
    <w:rsid w:val="3F4D60DB"/>
    <w:rsid w:val="3F536748"/>
    <w:rsid w:val="3F627AF1"/>
    <w:rsid w:val="3F6A13D6"/>
    <w:rsid w:val="3F6D44FC"/>
    <w:rsid w:val="3F75680D"/>
    <w:rsid w:val="3FAA3B4D"/>
    <w:rsid w:val="3FE25A9F"/>
    <w:rsid w:val="3FE94350"/>
    <w:rsid w:val="3FF46D8E"/>
    <w:rsid w:val="4024645D"/>
    <w:rsid w:val="402F7E74"/>
    <w:rsid w:val="405B4035"/>
    <w:rsid w:val="406336C2"/>
    <w:rsid w:val="406653B1"/>
    <w:rsid w:val="4073015A"/>
    <w:rsid w:val="40751544"/>
    <w:rsid w:val="407869A4"/>
    <w:rsid w:val="40843CC3"/>
    <w:rsid w:val="408D2A54"/>
    <w:rsid w:val="409C1A6C"/>
    <w:rsid w:val="409C6AAD"/>
    <w:rsid w:val="40A431DD"/>
    <w:rsid w:val="40AA01BD"/>
    <w:rsid w:val="40BD714B"/>
    <w:rsid w:val="40C022BD"/>
    <w:rsid w:val="40D171D9"/>
    <w:rsid w:val="40FD0282"/>
    <w:rsid w:val="410C1273"/>
    <w:rsid w:val="410F2D75"/>
    <w:rsid w:val="4113285A"/>
    <w:rsid w:val="411940B3"/>
    <w:rsid w:val="412B6650"/>
    <w:rsid w:val="415F0AF7"/>
    <w:rsid w:val="415F26DD"/>
    <w:rsid w:val="41603E9E"/>
    <w:rsid w:val="41636637"/>
    <w:rsid w:val="41651E48"/>
    <w:rsid w:val="416D4EF3"/>
    <w:rsid w:val="41865B95"/>
    <w:rsid w:val="419E3BEE"/>
    <w:rsid w:val="41C8220A"/>
    <w:rsid w:val="41D377A6"/>
    <w:rsid w:val="41E47079"/>
    <w:rsid w:val="41E9782C"/>
    <w:rsid w:val="41ED1888"/>
    <w:rsid w:val="41F31B59"/>
    <w:rsid w:val="4201401F"/>
    <w:rsid w:val="422C713A"/>
    <w:rsid w:val="423B5F37"/>
    <w:rsid w:val="424957B2"/>
    <w:rsid w:val="426360A5"/>
    <w:rsid w:val="427F38A9"/>
    <w:rsid w:val="42AE0BCD"/>
    <w:rsid w:val="42B64806"/>
    <w:rsid w:val="42C31BAA"/>
    <w:rsid w:val="42CB10DD"/>
    <w:rsid w:val="42D52C84"/>
    <w:rsid w:val="42E071BF"/>
    <w:rsid w:val="42F4081D"/>
    <w:rsid w:val="42F67566"/>
    <w:rsid w:val="42FD019A"/>
    <w:rsid w:val="42FE14C9"/>
    <w:rsid w:val="43020C1E"/>
    <w:rsid w:val="43024B66"/>
    <w:rsid w:val="43036496"/>
    <w:rsid w:val="4316347D"/>
    <w:rsid w:val="4318620D"/>
    <w:rsid w:val="431D2E29"/>
    <w:rsid w:val="432158EC"/>
    <w:rsid w:val="43284829"/>
    <w:rsid w:val="43341A8B"/>
    <w:rsid w:val="433C2964"/>
    <w:rsid w:val="4345253F"/>
    <w:rsid w:val="43462DCB"/>
    <w:rsid w:val="4355575F"/>
    <w:rsid w:val="43576782"/>
    <w:rsid w:val="43610798"/>
    <w:rsid w:val="43651E24"/>
    <w:rsid w:val="437529E2"/>
    <w:rsid w:val="439E1C3D"/>
    <w:rsid w:val="43B55BBE"/>
    <w:rsid w:val="43BA75CA"/>
    <w:rsid w:val="43C25C3E"/>
    <w:rsid w:val="43CC3C19"/>
    <w:rsid w:val="43CF3398"/>
    <w:rsid w:val="43CF7070"/>
    <w:rsid w:val="43D13581"/>
    <w:rsid w:val="43ED244D"/>
    <w:rsid w:val="43F52100"/>
    <w:rsid w:val="44150915"/>
    <w:rsid w:val="4423498D"/>
    <w:rsid w:val="44365ABB"/>
    <w:rsid w:val="443D5686"/>
    <w:rsid w:val="44422062"/>
    <w:rsid w:val="445B1F43"/>
    <w:rsid w:val="445C1F9D"/>
    <w:rsid w:val="44612817"/>
    <w:rsid w:val="447911B5"/>
    <w:rsid w:val="44875BE6"/>
    <w:rsid w:val="44AB4BE7"/>
    <w:rsid w:val="44B008B6"/>
    <w:rsid w:val="44EF6BBC"/>
    <w:rsid w:val="45376F62"/>
    <w:rsid w:val="453A6A25"/>
    <w:rsid w:val="45415CF7"/>
    <w:rsid w:val="454164BE"/>
    <w:rsid w:val="4560577A"/>
    <w:rsid w:val="456956FF"/>
    <w:rsid w:val="456C28FB"/>
    <w:rsid w:val="4579325F"/>
    <w:rsid w:val="458773C2"/>
    <w:rsid w:val="45C05BE7"/>
    <w:rsid w:val="45C51E77"/>
    <w:rsid w:val="45F13BE1"/>
    <w:rsid w:val="4612190B"/>
    <w:rsid w:val="46230B82"/>
    <w:rsid w:val="46244245"/>
    <w:rsid w:val="46332DAD"/>
    <w:rsid w:val="463419F7"/>
    <w:rsid w:val="4647333C"/>
    <w:rsid w:val="46555864"/>
    <w:rsid w:val="465A3CF0"/>
    <w:rsid w:val="465B0F4C"/>
    <w:rsid w:val="465C0700"/>
    <w:rsid w:val="46655308"/>
    <w:rsid w:val="46736890"/>
    <w:rsid w:val="4690782A"/>
    <w:rsid w:val="46974D03"/>
    <w:rsid w:val="46BB3747"/>
    <w:rsid w:val="46C30DCB"/>
    <w:rsid w:val="46E13EC1"/>
    <w:rsid w:val="46ED4B8C"/>
    <w:rsid w:val="46F04A58"/>
    <w:rsid w:val="46FA01AC"/>
    <w:rsid w:val="46FA60F6"/>
    <w:rsid w:val="47042EE0"/>
    <w:rsid w:val="47185DDD"/>
    <w:rsid w:val="472503CA"/>
    <w:rsid w:val="472E6887"/>
    <w:rsid w:val="47345FDE"/>
    <w:rsid w:val="473A039B"/>
    <w:rsid w:val="473F780F"/>
    <w:rsid w:val="475511A5"/>
    <w:rsid w:val="476B3098"/>
    <w:rsid w:val="47747E0A"/>
    <w:rsid w:val="478F7C96"/>
    <w:rsid w:val="47A6228A"/>
    <w:rsid w:val="47AC03FA"/>
    <w:rsid w:val="47BA5255"/>
    <w:rsid w:val="47BA65E4"/>
    <w:rsid w:val="47E020C5"/>
    <w:rsid w:val="47E81AD9"/>
    <w:rsid w:val="47F958BC"/>
    <w:rsid w:val="47FC3B06"/>
    <w:rsid w:val="4801632A"/>
    <w:rsid w:val="480C5F84"/>
    <w:rsid w:val="481333F2"/>
    <w:rsid w:val="48137CA9"/>
    <w:rsid w:val="483E721B"/>
    <w:rsid w:val="484563F3"/>
    <w:rsid w:val="484E3F9B"/>
    <w:rsid w:val="4867104C"/>
    <w:rsid w:val="4873580E"/>
    <w:rsid w:val="48754E88"/>
    <w:rsid w:val="487E77E9"/>
    <w:rsid w:val="487F16B0"/>
    <w:rsid w:val="487F6409"/>
    <w:rsid w:val="48944ECF"/>
    <w:rsid w:val="489472EE"/>
    <w:rsid w:val="489A21DD"/>
    <w:rsid w:val="48B64FE6"/>
    <w:rsid w:val="48DF40A4"/>
    <w:rsid w:val="48E42DC7"/>
    <w:rsid w:val="48E51DF5"/>
    <w:rsid w:val="48F80AA9"/>
    <w:rsid w:val="49205E14"/>
    <w:rsid w:val="49210119"/>
    <w:rsid w:val="492560F1"/>
    <w:rsid w:val="49314759"/>
    <w:rsid w:val="494A4F97"/>
    <w:rsid w:val="495928E8"/>
    <w:rsid w:val="495F52CF"/>
    <w:rsid w:val="496429C8"/>
    <w:rsid w:val="49693C03"/>
    <w:rsid w:val="49794999"/>
    <w:rsid w:val="49810577"/>
    <w:rsid w:val="498E15AB"/>
    <w:rsid w:val="499559CD"/>
    <w:rsid w:val="49985054"/>
    <w:rsid w:val="49B05FF0"/>
    <w:rsid w:val="49B42BAC"/>
    <w:rsid w:val="49E32A7E"/>
    <w:rsid w:val="49EB2C39"/>
    <w:rsid w:val="49FC1EA5"/>
    <w:rsid w:val="4A3056CA"/>
    <w:rsid w:val="4A306AF9"/>
    <w:rsid w:val="4A6C2DFE"/>
    <w:rsid w:val="4AA360B0"/>
    <w:rsid w:val="4AB73179"/>
    <w:rsid w:val="4ABB79E8"/>
    <w:rsid w:val="4AC42C3E"/>
    <w:rsid w:val="4AD20DCD"/>
    <w:rsid w:val="4AE73962"/>
    <w:rsid w:val="4AF95150"/>
    <w:rsid w:val="4B0B7617"/>
    <w:rsid w:val="4B0C65D0"/>
    <w:rsid w:val="4B45770D"/>
    <w:rsid w:val="4B5C59A3"/>
    <w:rsid w:val="4B691CD6"/>
    <w:rsid w:val="4B7074C2"/>
    <w:rsid w:val="4B8F18E5"/>
    <w:rsid w:val="4B90666D"/>
    <w:rsid w:val="4BAC45EB"/>
    <w:rsid w:val="4BB00CA0"/>
    <w:rsid w:val="4BBA34CF"/>
    <w:rsid w:val="4BDE5309"/>
    <w:rsid w:val="4BF05272"/>
    <w:rsid w:val="4BF1644E"/>
    <w:rsid w:val="4BF64F9D"/>
    <w:rsid w:val="4C111E29"/>
    <w:rsid w:val="4C181BB2"/>
    <w:rsid w:val="4C1C5E73"/>
    <w:rsid w:val="4C2B3DD6"/>
    <w:rsid w:val="4C303807"/>
    <w:rsid w:val="4C356841"/>
    <w:rsid w:val="4C3E4E3E"/>
    <w:rsid w:val="4C3F4F51"/>
    <w:rsid w:val="4C620CA9"/>
    <w:rsid w:val="4C672A41"/>
    <w:rsid w:val="4C7C174A"/>
    <w:rsid w:val="4C895C34"/>
    <w:rsid w:val="4C9072FD"/>
    <w:rsid w:val="4C986E26"/>
    <w:rsid w:val="4CD32707"/>
    <w:rsid w:val="4CDB69A2"/>
    <w:rsid w:val="4CED0D61"/>
    <w:rsid w:val="4D0843E2"/>
    <w:rsid w:val="4D091EA1"/>
    <w:rsid w:val="4D200323"/>
    <w:rsid w:val="4D357560"/>
    <w:rsid w:val="4D7A040F"/>
    <w:rsid w:val="4D7D58EF"/>
    <w:rsid w:val="4DA35FE8"/>
    <w:rsid w:val="4DB2307C"/>
    <w:rsid w:val="4DC71010"/>
    <w:rsid w:val="4DC9760D"/>
    <w:rsid w:val="4DE71DDE"/>
    <w:rsid w:val="4E0929C2"/>
    <w:rsid w:val="4E0A6F11"/>
    <w:rsid w:val="4E0C3A29"/>
    <w:rsid w:val="4E166D4D"/>
    <w:rsid w:val="4E23110F"/>
    <w:rsid w:val="4E2B69C8"/>
    <w:rsid w:val="4E57601D"/>
    <w:rsid w:val="4E7239AC"/>
    <w:rsid w:val="4E7D1DC0"/>
    <w:rsid w:val="4E8867AB"/>
    <w:rsid w:val="4E933395"/>
    <w:rsid w:val="4EA002A9"/>
    <w:rsid w:val="4EAD3EB8"/>
    <w:rsid w:val="4EFB06C0"/>
    <w:rsid w:val="4F0958FD"/>
    <w:rsid w:val="4F3F6520"/>
    <w:rsid w:val="4F421972"/>
    <w:rsid w:val="4F43680F"/>
    <w:rsid w:val="4F5E238C"/>
    <w:rsid w:val="4F672266"/>
    <w:rsid w:val="4F690531"/>
    <w:rsid w:val="4F895D7B"/>
    <w:rsid w:val="4FE534A5"/>
    <w:rsid w:val="4FE84CCA"/>
    <w:rsid w:val="4FE84FC5"/>
    <w:rsid w:val="4FF25C8B"/>
    <w:rsid w:val="50162BF2"/>
    <w:rsid w:val="501645AA"/>
    <w:rsid w:val="502A73BA"/>
    <w:rsid w:val="5042383E"/>
    <w:rsid w:val="508C58AC"/>
    <w:rsid w:val="50A55BE5"/>
    <w:rsid w:val="50BA1992"/>
    <w:rsid w:val="50E2381D"/>
    <w:rsid w:val="50F627B7"/>
    <w:rsid w:val="511C3090"/>
    <w:rsid w:val="51252D7D"/>
    <w:rsid w:val="51272D54"/>
    <w:rsid w:val="513A44D1"/>
    <w:rsid w:val="51435822"/>
    <w:rsid w:val="51510442"/>
    <w:rsid w:val="51537C64"/>
    <w:rsid w:val="515852EC"/>
    <w:rsid w:val="51693A45"/>
    <w:rsid w:val="516D2EB3"/>
    <w:rsid w:val="517459C2"/>
    <w:rsid w:val="51982FED"/>
    <w:rsid w:val="519F6101"/>
    <w:rsid w:val="51DD170D"/>
    <w:rsid w:val="51FE4625"/>
    <w:rsid w:val="521564AD"/>
    <w:rsid w:val="523C4C5B"/>
    <w:rsid w:val="524160D6"/>
    <w:rsid w:val="524532F3"/>
    <w:rsid w:val="5249522C"/>
    <w:rsid w:val="524E35BB"/>
    <w:rsid w:val="52517F42"/>
    <w:rsid w:val="5275384E"/>
    <w:rsid w:val="528F26C3"/>
    <w:rsid w:val="52B93C1E"/>
    <w:rsid w:val="52BB57DE"/>
    <w:rsid w:val="52C83197"/>
    <w:rsid w:val="52CD7994"/>
    <w:rsid w:val="52E31184"/>
    <w:rsid w:val="52E56002"/>
    <w:rsid w:val="52FE3FFD"/>
    <w:rsid w:val="52FF696E"/>
    <w:rsid w:val="5304627E"/>
    <w:rsid w:val="53055D9A"/>
    <w:rsid w:val="53187496"/>
    <w:rsid w:val="53264C98"/>
    <w:rsid w:val="534167BE"/>
    <w:rsid w:val="53460BF6"/>
    <w:rsid w:val="534D28BB"/>
    <w:rsid w:val="5361679A"/>
    <w:rsid w:val="53680877"/>
    <w:rsid w:val="536A7EAE"/>
    <w:rsid w:val="53872A7F"/>
    <w:rsid w:val="53880D6A"/>
    <w:rsid w:val="53936C68"/>
    <w:rsid w:val="53941522"/>
    <w:rsid w:val="539F7E6C"/>
    <w:rsid w:val="53A014D9"/>
    <w:rsid w:val="53C226C5"/>
    <w:rsid w:val="53C62D34"/>
    <w:rsid w:val="53D931BA"/>
    <w:rsid w:val="53DD656D"/>
    <w:rsid w:val="540634E1"/>
    <w:rsid w:val="540A6EB1"/>
    <w:rsid w:val="54131680"/>
    <w:rsid w:val="54292F17"/>
    <w:rsid w:val="543C513C"/>
    <w:rsid w:val="547B4F85"/>
    <w:rsid w:val="547C7338"/>
    <w:rsid w:val="547F3A23"/>
    <w:rsid w:val="5492268F"/>
    <w:rsid w:val="54987AB7"/>
    <w:rsid w:val="54A36C8D"/>
    <w:rsid w:val="54AC694B"/>
    <w:rsid w:val="54C14CAD"/>
    <w:rsid w:val="54CB5342"/>
    <w:rsid w:val="54E23B46"/>
    <w:rsid w:val="54E47254"/>
    <w:rsid w:val="54EB7F35"/>
    <w:rsid w:val="54F07AF2"/>
    <w:rsid w:val="54F557B2"/>
    <w:rsid w:val="54FC5EE8"/>
    <w:rsid w:val="552D047D"/>
    <w:rsid w:val="55327172"/>
    <w:rsid w:val="553553AF"/>
    <w:rsid w:val="553616F6"/>
    <w:rsid w:val="553F1CF3"/>
    <w:rsid w:val="558D77F7"/>
    <w:rsid w:val="55956D53"/>
    <w:rsid w:val="559C0949"/>
    <w:rsid w:val="55A658BA"/>
    <w:rsid w:val="55AB0FAE"/>
    <w:rsid w:val="55B41009"/>
    <w:rsid w:val="55CF563B"/>
    <w:rsid w:val="55F3120E"/>
    <w:rsid w:val="55F63F68"/>
    <w:rsid w:val="561414BB"/>
    <w:rsid w:val="56200D14"/>
    <w:rsid w:val="56243C21"/>
    <w:rsid w:val="5630230E"/>
    <w:rsid w:val="563A6A54"/>
    <w:rsid w:val="565929F0"/>
    <w:rsid w:val="565F5369"/>
    <w:rsid w:val="567B2A4F"/>
    <w:rsid w:val="567F2AD2"/>
    <w:rsid w:val="56906915"/>
    <w:rsid w:val="56926F97"/>
    <w:rsid w:val="569528BA"/>
    <w:rsid w:val="56BC1A8A"/>
    <w:rsid w:val="56C445C3"/>
    <w:rsid w:val="56C95B58"/>
    <w:rsid w:val="56E709EE"/>
    <w:rsid w:val="57153619"/>
    <w:rsid w:val="57347DB3"/>
    <w:rsid w:val="57354449"/>
    <w:rsid w:val="573922E0"/>
    <w:rsid w:val="57401F74"/>
    <w:rsid w:val="5747385E"/>
    <w:rsid w:val="575B6E70"/>
    <w:rsid w:val="57612F4B"/>
    <w:rsid w:val="57695726"/>
    <w:rsid w:val="577661DA"/>
    <w:rsid w:val="57812C34"/>
    <w:rsid w:val="578A744B"/>
    <w:rsid w:val="579B277D"/>
    <w:rsid w:val="57A22156"/>
    <w:rsid w:val="57B461B6"/>
    <w:rsid w:val="57BA361C"/>
    <w:rsid w:val="57BD2525"/>
    <w:rsid w:val="57DA4706"/>
    <w:rsid w:val="57DE4731"/>
    <w:rsid w:val="57E055B8"/>
    <w:rsid w:val="57E93010"/>
    <w:rsid w:val="57F01E4E"/>
    <w:rsid w:val="57FA0A6B"/>
    <w:rsid w:val="57FD5F21"/>
    <w:rsid w:val="58097C57"/>
    <w:rsid w:val="58117F27"/>
    <w:rsid w:val="5853483D"/>
    <w:rsid w:val="585F5CBC"/>
    <w:rsid w:val="5865410E"/>
    <w:rsid w:val="58717FC3"/>
    <w:rsid w:val="589B71FD"/>
    <w:rsid w:val="58BC58EC"/>
    <w:rsid w:val="58CE699D"/>
    <w:rsid w:val="58EA228B"/>
    <w:rsid w:val="58FA4F48"/>
    <w:rsid w:val="591279FD"/>
    <w:rsid w:val="59255A83"/>
    <w:rsid w:val="593A05AD"/>
    <w:rsid w:val="59403C07"/>
    <w:rsid w:val="59720486"/>
    <w:rsid w:val="59820A2E"/>
    <w:rsid w:val="599650CC"/>
    <w:rsid w:val="5998624F"/>
    <w:rsid w:val="59B31BD9"/>
    <w:rsid w:val="59C77D6C"/>
    <w:rsid w:val="59CD6FC3"/>
    <w:rsid w:val="59CF71F6"/>
    <w:rsid w:val="59EB0380"/>
    <w:rsid w:val="59F41303"/>
    <w:rsid w:val="59FD26F7"/>
    <w:rsid w:val="5A075C64"/>
    <w:rsid w:val="5A084674"/>
    <w:rsid w:val="5A12395B"/>
    <w:rsid w:val="5A1471DC"/>
    <w:rsid w:val="5A2405C6"/>
    <w:rsid w:val="5A2C012C"/>
    <w:rsid w:val="5A325AE5"/>
    <w:rsid w:val="5A330914"/>
    <w:rsid w:val="5A4430B3"/>
    <w:rsid w:val="5A537DFC"/>
    <w:rsid w:val="5A55011D"/>
    <w:rsid w:val="5A591494"/>
    <w:rsid w:val="5A702D64"/>
    <w:rsid w:val="5A760C79"/>
    <w:rsid w:val="5A8F2797"/>
    <w:rsid w:val="5A956AE2"/>
    <w:rsid w:val="5AB629B7"/>
    <w:rsid w:val="5ABD4B43"/>
    <w:rsid w:val="5AC75C3D"/>
    <w:rsid w:val="5ACA486C"/>
    <w:rsid w:val="5ADF41DF"/>
    <w:rsid w:val="5AE02CD4"/>
    <w:rsid w:val="5AE3634A"/>
    <w:rsid w:val="5AEB3BE5"/>
    <w:rsid w:val="5B0405DB"/>
    <w:rsid w:val="5B254CEE"/>
    <w:rsid w:val="5B2A4401"/>
    <w:rsid w:val="5B352D8C"/>
    <w:rsid w:val="5B372A6E"/>
    <w:rsid w:val="5B4276C3"/>
    <w:rsid w:val="5B611FB7"/>
    <w:rsid w:val="5B6618CE"/>
    <w:rsid w:val="5B68665F"/>
    <w:rsid w:val="5B743014"/>
    <w:rsid w:val="5B754B74"/>
    <w:rsid w:val="5B8D28AD"/>
    <w:rsid w:val="5BBB0575"/>
    <w:rsid w:val="5BDF7F61"/>
    <w:rsid w:val="5BE3395B"/>
    <w:rsid w:val="5BE77BD8"/>
    <w:rsid w:val="5BEC3D95"/>
    <w:rsid w:val="5BF23BCA"/>
    <w:rsid w:val="5C0E1FFD"/>
    <w:rsid w:val="5C155FD2"/>
    <w:rsid w:val="5C356B99"/>
    <w:rsid w:val="5C5870CF"/>
    <w:rsid w:val="5C7C2EA9"/>
    <w:rsid w:val="5C7E06BC"/>
    <w:rsid w:val="5C825933"/>
    <w:rsid w:val="5C84245B"/>
    <w:rsid w:val="5C9033E9"/>
    <w:rsid w:val="5C92647F"/>
    <w:rsid w:val="5CAA4790"/>
    <w:rsid w:val="5CBE589E"/>
    <w:rsid w:val="5CC25188"/>
    <w:rsid w:val="5CC74FD3"/>
    <w:rsid w:val="5CD7602B"/>
    <w:rsid w:val="5CE256E1"/>
    <w:rsid w:val="5CE85B83"/>
    <w:rsid w:val="5CF74568"/>
    <w:rsid w:val="5D0036DA"/>
    <w:rsid w:val="5D111B76"/>
    <w:rsid w:val="5D1A589A"/>
    <w:rsid w:val="5DB811B4"/>
    <w:rsid w:val="5DBB4E85"/>
    <w:rsid w:val="5DCE7491"/>
    <w:rsid w:val="5DD41E60"/>
    <w:rsid w:val="5DD9294B"/>
    <w:rsid w:val="5DDF7568"/>
    <w:rsid w:val="5DE6703C"/>
    <w:rsid w:val="5DEC6247"/>
    <w:rsid w:val="5DFB64D0"/>
    <w:rsid w:val="5E082F10"/>
    <w:rsid w:val="5E0E1F85"/>
    <w:rsid w:val="5E344AF2"/>
    <w:rsid w:val="5E4D6581"/>
    <w:rsid w:val="5E5614B4"/>
    <w:rsid w:val="5E567E1C"/>
    <w:rsid w:val="5E6A712A"/>
    <w:rsid w:val="5E714481"/>
    <w:rsid w:val="5E737CD6"/>
    <w:rsid w:val="5E772DE9"/>
    <w:rsid w:val="5E934C43"/>
    <w:rsid w:val="5E9F4098"/>
    <w:rsid w:val="5EA745B6"/>
    <w:rsid w:val="5EAD2BB7"/>
    <w:rsid w:val="5EB64E0D"/>
    <w:rsid w:val="5EBF54B4"/>
    <w:rsid w:val="5EC378C1"/>
    <w:rsid w:val="5EE1480A"/>
    <w:rsid w:val="5EF87B6B"/>
    <w:rsid w:val="5F3A36EC"/>
    <w:rsid w:val="5F3C1C6E"/>
    <w:rsid w:val="5F4A5E47"/>
    <w:rsid w:val="5F4F6A9E"/>
    <w:rsid w:val="5F550827"/>
    <w:rsid w:val="5F5A646C"/>
    <w:rsid w:val="5F5E45D5"/>
    <w:rsid w:val="5F6E2487"/>
    <w:rsid w:val="5F7D45ED"/>
    <w:rsid w:val="5F7E4EAD"/>
    <w:rsid w:val="5F935561"/>
    <w:rsid w:val="5F9837E5"/>
    <w:rsid w:val="5FA14E57"/>
    <w:rsid w:val="5FA578A3"/>
    <w:rsid w:val="5FBE0C94"/>
    <w:rsid w:val="5FC03ADC"/>
    <w:rsid w:val="5FC345B3"/>
    <w:rsid w:val="5FC91B67"/>
    <w:rsid w:val="5FEA14E8"/>
    <w:rsid w:val="5FEE56D9"/>
    <w:rsid w:val="5FF42ED2"/>
    <w:rsid w:val="600C1508"/>
    <w:rsid w:val="60331559"/>
    <w:rsid w:val="60386B29"/>
    <w:rsid w:val="604159BC"/>
    <w:rsid w:val="60714669"/>
    <w:rsid w:val="60751527"/>
    <w:rsid w:val="607D7590"/>
    <w:rsid w:val="60A040B7"/>
    <w:rsid w:val="60BD4789"/>
    <w:rsid w:val="60F11912"/>
    <w:rsid w:val="60F900E0"/>
    <w:rsid w:val="60FA1250"/>
    <w:rsid w:val="61213636"/>
    <w:rsid w:val="613227F2"/>
    <w:rsid w:val="61386460"/>
    <w:rsid w:val="61394D3D"/>
    <w:rsid w:val="614F164C"/>
    <w:rsid w:val="61570E0A"/>
    <w:rsid w:val="61643C2B"/>
    <w:rsid w:val="61777233"/>
    <w:rsid w:val="61783953"/>
    <w:rsid w:val="61B05FA3"/>
    <w:rsid w:val="61D837DB"/>
    <w:rsid w:val="61EC60B0"/>
    <w:rsid w:val="61F4561A"/>
    <w:rsid w:val="61F64E31"/>
    <w:rsid w:val="61F90882"/>
    <w:rsid w:val="6224706D"/>
    <w:rsid w:val="6231538C"/>
    <w:rsid w:val="62316193"/>
    <w:rsid w:val="623B2887"/>
    <w:rsid w:val="6249477B"/>
    <w:rsid w:val="625B3CCC"/>
    <w:rsid w:val="625F6656"/>
    <w:rsid w:val="62666B5A"/>
    <w:rsid w:val="626C0F36"/>
    <w:rsid w:val="6270578C"/>
    <w:rsid w:val="62752570"/>
    <w:rsid w:val="62785EDA"/>
    <w:rsid w:val="62834FA4"/>
    <w:rsid w:val="6297479E"/>
    <w:rsid w:val="62976625"/>
    <w:rsid w:val="62A64250"/>
    <w:rsid w:val="62B676B7"/>
    <w:rsid w:val="62BA54A0"/>
    <w:rsid w:val="62BE36F6"/>
    <w:rsid w:val="62C55430"/>
    <w:rsid w:val="62C738E1"/>
    <w:rsid w:val="62CC4EF1"/>
    <w:rsid w:val="62CC74CF"/>
    <w:rsid w:val="62D044D1"/>
    <w:rsid w:val="62D4740E"/>
    <w:rsid w:val="62D57631"/>
    <w:rsid w:val="62DA739D"/>
    <w:rsid w:val="62DE7C00"/>
    <w:rsid w:val="62E15679"/>
    <w:rsid w:val="62E31DB8"/>
    <w:rsid w:val="62E754F8"/>
    <w:rsid w:val="62EA7239"/>
    <w:rsid w:val="62F77CD3"/>
    <w:rsid w:val="63081C46"/>
    <w:rsid w:val="630F628A"/>
    <w:rsid w:val="6310589B"/>
    <w:rsid w:val="63134889"/>
    <w:rsid w:val="63181182"/>
    <w:rsid w:val="631E190C"/>
    <w:rsid w:val="632039A9"/>
    <w:rsid w:val="6328012B"/>
    <w:rsid w:val="63370CE0"/>
    <w:rsid w:val="63491EBA"/>
    <w:rsid w:val="635B6B8A"/>
    <w:rsid w:val="635C7DA0"/>
    <w:rsid w:val="636D7ABB"/>
    <w:rsid w:val="6375792A"/>
    <w:rsid w:val="6395733D"/>
    <w:rsid w:val="63B00DB9"/>
    <w:rsid w:val="63B830B6"/>
    <w:rsid w:val="63B9112E"/>
    <w:rsid w:val="640A067A"/>
    <w:rsid w:val="642D67E7"/>
    <w:rsid w:val="643525A8"/>
    <w:rsid w:val="643A170D"/>
    <w:rsid w:val="645F408F"/>
    <w:rsid w:val="647F7DF4"/>
    <w:rsid w:val="64A317F0"/>
    <w:rsid w:val="64A8208B"/>
    <w:rsid w:val="64B11C7A"/>
    <w:rsid w:val="64C76423"/>
    <w:rsid w:val="64CE0A0D"/>
    <w:rsid w:val="64E92809"/>
    <w:rsid w:val="64F205FB"/>
    <w:rsid w:val="64FE5025"/>
    <w:rsid w:val="65017A38"/>
    <w:rsid w:val="651647ED"/>
    <w:rsid w:val="65176989"/>
    <w:rsid w:val="652A52C5"/>
    <w:rsid w:val="6536439A"/>
    <w:rsid w:val="6555530A"/>
    <w:rsid w:val="65572C09"/>
    <w:rsid w:val="65762F02"/>
    <w:rsid w:val="658856E7"/>
    <w:rsid w:val="658C3919"/>
    <w:rsid w:val="65982929"/>
    <w:rsid w:val="659D6F5D"/>
    <w:rsid w:val="65AC0E93"/>
    <w:rsid w:val="65D9258D"/>
    <w:rsid w:val="65DA0024"/>
    <w:rsid w:val="65E347FD"/>
    <w:rsid w:val="65FC49CC"/>
    <w:rsid w:val="66416300"/>
    <w:rsid w:val="66501025"/>
    <w:rsid w:val="6664212C"/>
    <w:rsid w:val="66665D38"/>
    <w:rsid w:val="66694852"/>
    <w:rsid w:val="666E58FF"/>
    <w:rsid w:val="668B0BF8"/>
    <w:rsid w:val="66916C38"/>
    <w:rsid w:val="66957B61"/>
    <w:rsid w:val="66AE6E85"/>
    <w:rsid w:val="66C16BA6"/>
    <w:rsid w:val="66C51541"/>
    <w:rsid w:val="66DE18BC"/>
    <w:rsid w:val="66E52921"/>
    <w:rsid w:val="66F85061"/>
    <w:rsid w:val="67180A80"/>
    <w:rsid w:val="67442795"/>
    <w:rsid w:val="6748599B"/>
    <w:rsid w:val="674A0E9A"/>
    <w:rsid w:val="674D0719"/>
    <w:rsid w:val="67603FA1"/>
    <w:rsid w:val="677B1A50"/>
    <w:rsid w:val="67876073"/>
    <w:rsid w:val="67947920"/>
    <w:rsid w:val="67A66AAA"/>
    <w:rsid w:val="67F22326"/>
    <w:rsid w:val="67F74AE9"/>
    <w:rsid w:val="6800637A"/>
    <w:rsid w:val="68040596"/>
    <w:rsid w:val="682F25D9"/>
    <w:rsid w:val="68414E1C"/>
    <w:rsid w:val="68661ADE"/>
    <w:rsid w:val="68692840"/>
    <w:rsid w:val="687A38F0"/>
    <w:rsid w:val="68897903"/>
    <w:rsid w:val="68965D93"/>
    <w:rsid w:val="689E6396"/>
    <w:rsid w:val="68A434C4"/>
    <w:rsid w:val="68AD6758"/>
    <w:rsid w:val="68AE20DD"/>
    <w:rsid w:val="68BB6C15"/>
    <w:rsid w:val="68BD30EA"/>
    <w:rsid w:val="68C44BC6"/>
    <w:rsid w:val="68E862D9"/>
    <w:rsid w:val="68E9645E"/>
    <w:rsid w:val="69017C62"/>
    <w:rsid w:val="690A5F02"/>
    <w:rsid w:val="690A73CD"/>
    <w:rsid w:val="692B1A83"/>
    <w:rsid w:val="694A3729"/>
    <w:rsid w:val="69A40E6A"/>
    <w:rsid w:val="69A822B5"/>
    <w:rsid w:val="69B2025C"/>
    <w:rsid w:val="69BA201B"/>
    <w:rsid w:val="69C5208D"/>
    <w:rsid w:val="69D20F81"/>
    <w:rsid w:val="69EF15F7"/>
    <w:rsid w:val="69F83269"/>
    <w:rsid w:val="6A29291B"/>
    <w:rsid w:val="6A2D7958"/>
    <w:rsid w:val="6A34290E"/>
    <w:rsid w:val="6A462A7D"/>
    <w:rsid w:val="6A4A10C1"/>
    <w:rsid w:val="6A5D7CA3"/>
    <w:rsid w:val="6A6658E9"/>
    <w:rsid w:val="6A70007A"/>
    <w:rsid w:val="6A826697"/>
    <w:rsid w:val="6AC719B5"/>
    <w:rsid w:val="6AD15EE9"/>
    <w:rsid w:val="6AD408A9"/>
    <w:rsid w:val="6AE94F97"/>
    <w:rsid w:val="6AF149D2"/>
    <w:rsid w:val="6AF17E5F"/>
    <w:rsid w:val="6AF36C12"/>
    <w:rsid w:val="6AFD590B"/>
    <w:rsid w:val="6B21598C"/>
    <w:rsid w:val="6B540E15"/>
    <w:rsid w:val="6B75761B"/>
    <w:rsid w:val="6B7730E7"/>
    <w:rsid w:val="6B7E0328"/>
    <w:rsid w:val="6BA83BEC"/>
    <w:rsid w:val="6BBA5AE4"/>
    <w:rsid w:val="6BDC4DAC"/>
    <w:rsid w:val="6BE26D89"/>
    <w:rsid w:val="6BF46767"/>
    <w:rsid w:val="6C005FDA"/>
    <w:rsid w:val="6C021CDA"/>
    <w:rsid w:val="6C0B1A84"/>
    <w:rsid w:val="6C1024F2"/>
    <w:rsid w:val="6C142CF4"/>
    <w:rsid w:val="6C54155F"/>
    <w:rsid w:val="6C55468B"/>
    <w:rsid w:val="6C5B56C9"/>
    <w:rsid w:val="6C6446E7"/>
    <w:rsid w:val="6CA33986"/>
    <w:rsid w:val="6CA75C27"/>
    <w:rsid w:val="6CAB0DF6"/>
    <w:rsid w:val="6CB125F5"/>
    <w:rsid w:val="6CE23ED5"/>
    <w:rsid w:val="6CE72ABC"/>
    <w:rsid w:val="6CE84BB9"/>
    <w:rsid w:val="6CF923BD"/>
    <w:rsid w:val="6D071DA8"/>
    <w:rsid w:val="6D2631AC"/>
    <w:rsid w:val="6D567817"/>
    <w:rsid w:val="6D7C310D"/>
    <w:rsid w:val="6D970E8A"/>
    <w:rsid w:val="6DC34205"/>
    <w:rsid w:val="6DD64311"/>
    <w:rsid w:val="6DEB5549"/>
    <w:rsid w:val="6E2C65CE"/>
    <w:rsid w:val="6E5039DC"/>
    <w:rsid w:val="6E5F0877"/>
    <w:rsid w:val="6E9173A5"/>
    <w:rsid w:val="6ED8635B"/>
    <w:rsid w:val="6EE55E43"/>
    <w:rsid w:val="6EF07BBA"/>
    <w:rsid w:val="6EFC7DE1"/>
    <w:rsid w:val="6F01172F"/>
    <w:rsid w:val="6F094D79"/>
    <w:rsid w:val="6F101A6A"/>
    <w:rsid w:val="6F140AE6"/>
    <w:rsid w:val="6F1C670D"/>
    <w:rsid w:val="6F1F67A7"/>
    <w:rsid w:val="6F2C0A32"/>
    <w:rsid w:val="6FB40B35"/>
    <w:rsid w:val="6FC97936"/>
    <w:rsid w:val="6FD3419B"/>
    <w:rsid w:val="6FE5345C"/>
    <w:rsid w:val="6FEB4D81"/>
    <w:rsid w:val="6FEB788D"/>
    <w:rsid w:val="6FF425FB"/>
    <w:rsid w:val="6FFA4526"/>
    <w:rsid w:val="70194E18"/>
    <w:rsid w:val="702E059D"/>
    <w:rsid w:val="70881A57"/>
    <w:rsid w:val="708A7C2F"/>
    <w:rsid w:val="70A61015"/>
    <w:rsid w:val="70A66647"/>
    <w:rsid w:val="70A911E0"/>
    <w:rsid w:val="70CF213B"/>
    <w:rsid w:val="71000D8B"/>
    <w:rsid w:val="710607C7"/>
    <w:rsid w:val="712C34B9"/>
    <w:rsid w:val="71387729"/>
    <w:rsid w:val="7146042D"/>
    <w:rsid w:val="71542571"/>
    <w:rsid w:val="715C75CE"/>
    <w:rsid w:val="716C198B"/>
    <w:rsid w:val="718B476F"/>
    <w:rsid w:val="71902E4D"/>
    <w:rsid w:val="71A85BD6"/>
    <w:rsid w:val="71B40511"/>
    <w:rsid w:val="71B8200F"/>
    <w:rsid w:val="71F211CB"/>
    <w:rsid w:val="71F63E1B"/>
    <w:rsid w:val="71FA6602"/>
    <w:rsid w:val="720A242F"/>
    <w:rsid w:val="720C07AD"/>
    <w:rsid w:val="721A4BE8"/>
    <w:rsid w:val="7224458A"/>
    <w:rsid w:val="7231266A"/>
    <w:rsid w:val="723A67F5"/>
    <w:rsid w:val="7248682B"/>
    <w:rsid w:val="726752C5"/>
    <w:rsid w:val="726A75B2"/>
    <w:rsid w:val="72916857"/>
    <w:rsid w:val="72A9582D"/>
    <w:rsid w:val="72B84009"/>
    <w:rsid w:val="72BB2F05"/>
    <w:rsid w:val="72C525D5"/>
    <w:rsid w:val="72CB3382"/>
    <w:rsid w:val="72D640D1"/>
    <w:rsid w:val="72E40A36"/>
    <w:rsid w:val="73021047"/>
    <w:rsid w:val="73033CCA"/>
    <w:rsid w:val="73035757"/>
    <w:rsid w:val="73143F93"/>
    <w:rsid w:val="731725AE"/>
    <w:rsid w:val="731B551D"/>
    <w:rsid w:val="732441BA"/>
    <w:rsid w:val="732C758F"/>
    <w:rsid w:val="73306D17"/>
    <w:rsid w:val="735D5444"/>
    <w:rsid w:val="737125F4"/>
    <w:rsid w:val="738B5A99"/>
    <w:rsid w:val="738F5D1C"/>
    <w:rsid w:val="73977381"/>
    <w:rsid w:val="73B63CF8"/>
    <w:rsid w:val="73BB5417"/>
    <w:rsid w:val="73C8135B"/>
    <w:rsid w:val="73D81F48"/>
    <w:rsid w:val="73D9300B"/>
    <w:rsid w:val="73E217C4"/>
    <w:rsid w:val="74015A1C"/>
    <w:rsid w:val="74320A92"/>
    <w:rsid w:val="743C2B14"/>
    <w:rsid w:val="743F4CF3"/>
    <w:rsid w:val="744E2EA0"/>
    <w:rsid w:val="74514294"/>
    <w:rsid w:val="74515778"/>
    <w:rsid w:val="74582577"/>
    <w:rsid w:val="747B0D10"/>
    <w:rsid w:val="747F0107"/>
    <w:rsid w:val="74874785"/>
    <w:rsid w:val="748968AB"/>
    <w:rsid w:val="748A497A"/>
    <w:rsid w:val="74B70FF0"/>
    <w:rsid w:val="74BD084A"/>
    <w:rsid w:val="74E00291"/>
    <w:rsid w:val="74E350E2"/>
    <w:rsid w:val="74E4381E"/>
    <w:rsid w:val="75045359"/>
    <w:rsid w:val="75083D17"/>
    <w:rsid w:val="751F454A"/>
    <w:rsid w:val="75211125"/>
    <w:rsid w:val="75350763"/>
    <w:rsid w:val="755B29D6"/>
    <w:rsid w:val="756D28FE"/>
    <w:rsid w:val="758721A2"/>
    <w:rsid w:val="758E7F8C"/>
    <w:rsid w:val="75AC0E56"/>
    <w:rsid w:val="75CE7F43"/>
    <w:rsid w:val="75D5240A"/>
    <w:rsid w:val="75DB75F6"/>
    <w:rsid w:val="760665AA"/>
    <w:rsid w:val="764F0B6C"/>
    <w:rsid w:val="76517F5E"/>
    <w:rsid w:val="765560A1"/>
    <w:rsid w:val="765F581F"/>
    <w:rsid w:val="7682664B"/>
    <w:rsid w:val="76C65B39"/>
    <w:rsid w:val="76D10302"/>
    <w:rsid w:val="76DD4C69"/>
    <w:rsid w:val="76DF45D0"/>
    <w:rsid w:val="76F23FA8"/>
    <w:rsid w:val="76F74F4C"/>
    <w:rsid w:val="7701777F"/>
    <w:rsid w:val="770418DD"/>
    <w:rsid w:val="77062959"/>
    <w:rsid w:val="772F75A7"/>
    <w:rsid w:val="77390BA2"/>
    <w:rsid w:val="773D3C8B"/>
    <w:rsid w:val="77443BB2"/>
    <w:rsid w:val="774C3B77"/>
    <w:rsid w:val="774F69D0"/>
    <w:rsid w:val="777D6FFB"/>
    <w:rsid w:val="77875CFF"/>
    <w:rsid w:val="77AE2C50"/>
    <w:rsid w:val="77D65398"/>
    <w:rsid w:val="77E042E3"/>
    <w:rsid w:val="77E32754"/>
    <w:rsid w:val="77E674EB"/>
    <w:rsid w:val="77F14107"/>
    <w:rsid w:val="78044B68"/>
    <w:rsid w:val="78091067"/>
    <w:rsid w:val="782900CD"/>
    <w:rsid w:val="782D537E"/>
    <w:rsid w:val="783F0840"/>
    <w:rsid w:val="784C18BA"/>
    <w:rsid w:val="789542EF"/>
    <w:rsid w:val="7899279B"/>
    <w:rsid w:val="78A454F8"/>
    <w:rsid w:val="78B816AD"/>
    <w:rsid w:val="78C9467A"/>
    <w:rsid w:val="78C979A2"/>
    <w:rsid w:val="78D175F4"/>
    <w:rsid w:val="78FB780A"/>
    <w:rsid w:val="79180A07"/>
    <w:rsid w:val="79487A40"/>
    <w:rsid w:val="797A6CA6"/>
    <w:rsid w:val="797E4C29"/>
    <w:rsid w:val="798735B6"/>
    <w:rsid w:val="799131ED"/>
    <w:rsid w:val="79945BB8"/>
    <w:rsid w:val="79962FE9"/>
    <w:rsid w:val="79A66D89"/>
    <w:rsid w:val="79AB6A24"/>
    <w:rsid w:val="79B07A32"/>
    <w:rsid w:val="79C732D6"/>
    <w:rsid w:val="79E50BE8"/>
    <w:rsid w:val="7A123C0A"/>
    <w:rsid w:val="7A220CF3"/>
    <w:rsid w:val="7A2B4C46"/>
    <w:rsid w:val="7A49384D"/>
    <w:rsid w:val="7A4A7856"/>
    <w:rsid w:val="7A6F4C13"/>
    <w:rsid w:val="7A8907F2"/>
    <w:rsid w:val="7A951D81"/>
    <w:rsid w:val="7AA34085"/>
    <w:rsid w:val="7AAA493A"/>
    <w:rsid w:val="7AAA5715"/>
    <w:rsid w:val="7AAB53D6"/>
    <w:rsid w:val="7AB64FDD"/>
    <w:rsid w:val="7AB704CF"/>
    <w:rsid w:val="7AC4735E"/>
    <w:rsid w:val="7AC67156"/>
    <w:rsid w:val="7ACA71AA"/>
    <w:rsid w:val="7AD12BDF"/>
    <w:rsid w:val="7AD41735"/>
    <w:rsid w:val="7AE27E32"/>
    <w:rsid w:val="7B0C4EC5"/>
    <w:rsid w:val="7B0E5505"/>
    <w:rsid w:val="7B303E11"/>
    <w:rsid w:val="7B4A11C6"/>
    <w:rsid w:val="7B4D6526"/>
    <w:rsid w:val="7B7C58BD"/>
    <w:rsid w:val="7B84335A"/>
    <w:rsid w:val="7BA4641E"/>
    <w:rsid w:val="7BB30973"/>
    <w:rsid w:val="7BD72042"/>
    <w:rsid w:val="7BE243B4"/>
    <w:rsid w:val="7BF200AF"/>
    <w:rsid w:val="7C0026CE"/>
    <w:rsid w:val="7C294788"/>
    <w:rsid w:val="7C3028DF"/>
    <w:rsid w:val="7C322717"/>
    <w:rsid w:val="7C36101B"/>
    <w:rsid w:val="7C3745A1"/>
    <w:rsid w:val="7C3A592E"/>
    <w:rsid w:val="7C447EEE"/>
    <w:rsid w:val="7C451411"/>
    <w:rsid w:val="7C592770"/>
    <w:rsid w:val="7C5E1080"/>
    <w:rsid w:val="7C7E67FD"/>
    <w:rsid w:val="7C9E7ED4"/>
    <w:rsid w:val="7CAD1D7F"/>
    <w:rsid w:val="7CCC1CD4"/>
    <w:rsid w:val="7CDA74C0"/>
    <w:rsid w:val="7CDB0946"/>
    <w:rsid w:val="7CEF1DFC"/>
    <w:rsid w:val="7CF45FC0"/>
    <w:rsid w:val="7D0A66BC"/>
    <w:rsid w:val="7D0F3C9C"/>
    <w:rsid w:val="7D472DDE"/>
    <w:rsid w:val="7D4867A3"/>
    <w:rsid w:val="7D49713A"/>
    <w:rsid w:val="7D520B9C"/>
    <w:rsid w:val="7D704F6D"/>
    <w:rsid w:val="7D7607ED"/>
    <w:rsid w:val="7D7E7EC0"/>
    <w:rsid w:val="7D842CA0"/>
    <w:rsid w:val="7D896C49"/>
    <w:rsid w:val="7D935360"/>
    <w:rsid w:val="7D9A4E58"/>
    <w:rsid w:val="7DEC112B"/>
    <w:rsid w:val="7E050C3F"/>
    <w:rsid w:val="7E0D2638"/>
    <w:rsid w:val="7E2609F7"/>
    <w:rsid w:val="7E702CA9"/>
    <w:rsid w:val="7E7C0CDD"/>
    <w:rsid w:val="7EA835E4"/>
    <w:rsid w:val="7EAE73FD"/>
    <w:rsid w:val="7EB12FF2"/>
    <w:rsid w:val="7EC854A0"/>
    <w:rsid w:val="7ECF1C0B"/>
    <w:rsid w:val="7ED518BE"/>
    <w:rsid w:val="7EDF2343"/>
    <w:rsid w:val="7EE36D41"/>
    <w:rsid w:val="7EEA3D2F"/>
    <w:rsid w:val="7EF53A9F"/>
    <w:rsid w:val="7EFD3315"/>
    <w:rsid w:val="7EFF6927"/>
    <w:rsid w:val="7EFF7BDA"/>
    <w:rsid w:val="7F091A4D"/>
    <w:rsid w:val="7F350056"/>
    <w:rsid w:val="7F377500"/>
    <w:rsid w:val="7F495F49"/>
    <w:rsid w:val="7F516A9F"/>
    <w:rsid w:val="7F561C95"/>
    <w:rsid w:val="7F6C0684"/>
    <w:rsid w:val="7F6E1BC1"/>
    <w:rsid w:val="7F711F55"/>
    <w:rsid w:val="7F8C7D52"/>
    <w:rsid w:val="7FA60549"/>
    <w:rsid w:val="7FAE2184"/>
    <w:rsid w:val="7FC15207"/>
    <w:rsid w:val="7FE6187D"/>
    <w:rsid w:val="7FE8538B"/>
    <w:rsid w:val="7FF32E1C"/>
    <w:rsid w:val="7FFD33ED"/>
    <w:rsid w:val="7FFD4F8B"/>
    <w:rsid w:val="EC5F5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81"/>
    <w:qFormat/>
    <w:uiPriority w:val="0"/>
    <w:pPr>
      <w:widowControl w:val="0"/>
      <w:spacing w:line="360" w:lineRule="auto"/>
      <w:ind w:firstLine="643" w:firstLineChars="200"/>
      <w:jc w:val="both"/>
    </w:pPr>
    <w:rPr>
      <w:rFonts w:ascii="Times New Roman" w:hAnsi="Times New Roman" w:eastAsia="仿宋" w:cs="Times New Roman"/>
      <w:kern w:val="2"/>
      <w:sz w:val="32"/>
      <w:lang w:val="en-US" w:eastAsia="zh-CN" w:bidi="ar-SA"/>
    </w:rPr>
  </w:style>
  <w:style w:type="paragraph" w:styleId="3">
    <w:name w:val="heading 1"/>
    <w:basedOn w:val="1"/>
    <w:next w:val="1"/>
    <w:qFormat/>
    <w:uiPriority w:val="0"/>
    <w:pPr>
      <w:keepNext/>
      <w:keepLines/>
      <w:spacing w:before="50" w:beforeLines="50" w:after="50" w:afterLines="50" w:line="240" w:lineRule="auto"/>
      <w:ind w:firstLine="0" w:firstLineChars="0"/>
      <w:jc w:val="center"/>
      <w:outlineLvl w:val="0"/>
    </w:pPr>
    <w:rPr>
      <w:rFonts w:eastAsia="华文中宋"/>
      <w:b/>
      <w:kern w:val="44"/>
      <w:sz w:val="36"/>
    </w:rPr>
  </w:style>
  <w:style w:type="paragraph" w:styleId="4">
    <w:name w:val="heading 2"/>
    <w:basedOn w:val="1"/>
    <w:next w:val="1"/>
    <w:link w:val="27"/>
    <w:qFormat/>
    <w:uiPriority w:val="0"/>
    <w:pPr>
      <w:spacing w:before="20" w:beforeLines="20" w:after="20" w:afterLines="20"/>
      <w:ind w:firstLine="0" w:firstLineChars="0"/>
      <w:jc w:val="left"/>
      <w:outlineLvl w:val="1"/>
    </w:pPr>
    <w:rPr>
      <w:rFonts w:hint="eastAsia" w:ascii="宋体" w:hAnsi="宋体" w:eastAsia="黑体"/>
      <w:kern w:val="0"/>
      <w:szCs w:val="36"/>
    </w:rPr>
  </w:style>
  <w:style w:type="paragraph" w:styleId="5">
    <w:name w:val="heading 3"/>
    <w:basedOn w:val="1"/>
    <w:next w:val="1"/>
    <w:link w:val="26"/>
    <w:qFormat/>
    <w:uiPriority w:val="0"/>
    <w:pPr>
      <w:outlineLvl w:val="2"/>
    </w:pPr>
    <w:rPr>
      <w:rFonts w:ascii="黑体" w:hAnsi="黑体" w:eastAsia="楷体"/>
      <w:b/>
      <w:kern w:val="0"/>
      <w:szCs w:val="25"/>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宋体" w:hAnsi="宋体" w:eastAsia="宋体" w:cs="宋体"/>
      <w:sz w:val="24"/>
      <w:szCs w:val="24"/>
      <w:lang w:val="zh-CN" w:bidi="zh-CN"/>
    </w:rPr>
  </w:style>
  <w:style w:type="paragraph" w:styleId="6">
    <w:name w:val="caption"/>
    <w:basedOn w:val="1"/>
    <w:next w:val="1"/>
    <w:qFormat/>
    <w:uiPriority w:val="35"/>
    <w:pPr>
      <w:spacing w:beforeLines="50" w:afterLines="50"/>
      <w:ind w:firstLine="0" w:firstLineChars="0"/>
      <w:jc w:val="center"/>
    </w:pPr>
    <w:rPr>
      <w:rFonts w:ascii="Arial" w:hAnsi="Arial" w:eastAsia="宋体"/>
      <w:b/>
      <w:sz w:val="24"/>
    </w:rPr>
  </w:style>
  <w:style w:type="paragraph" w:styleId="7">
    <w:name w:val="annotation text"/>
    <w:basedOn w:val="1"/>
    <w:unhideWhenUsed/>
    <w:qFormat/>
    <w:uiPriority w:val="99"/>
    <w:pPr>
      <w:jc w:val="left"/>
    </w:pPr>
  </w:style>
  <w:style w:type="paragraph" w:styleId="8">
    <w:name w:val="footer"/>
    <w:basedOn w:val="1"/>
    <w:qFormat/>
    <w:uiPriority w:val="99"/>
    <w:pPr>
      <w:tabs>
        <w:tab w:val="center" w:pos="4153"/>
        <w:tab w:val="right" w:pos="8306"/>
      </w:tabs>
      <w:snapToGrid w:val="0"/>
      <w:jc w:val="left"/>
    </w:pPr>
    <w:rPr>
      <w:rFonts w:eastAsia="宋体"/>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0">
    <w:name w:val="toc 1"/>
    <w:basedOn w:val="1"/>
    <w:next w:val="1"/>
    <w:qFormat/>
    <w:uiPriority w:val="39"/>
    <w:pPr>
      <w:ind w:firstLine="0" w:firstLineChars="0"/>
    </w:pPr>
    <w:rPr>
      <w:rFonts w:ascii="Times New Roman" w:hAnsi="Times New Roman" w:eastAsia="宋体"/>
      <w:b/>
      <w:sz w:val="28"/>
    </w:rPr>
  </w:style>
  <w:style w:type="paragraph" w:styleId="11">
    <w:name w:val="footnote text"/>
    <w:basedOn w:val="1"/>
    <w:qFormat/>
    <w:uiPriority w:val="0"/>
    <w:pPr>
      <w:snapToGrid w:val="0"/>
      <w:jc w:val="left"/>
    </w:pPr>
    <w:rPr>
      <w:sz w:val="18"/>
    </w:rPr>
  </w:style>
  <w:style w:type="paragraph" w:styleId="12">
    <w:name w:val="toc 2"/>
    <w:basedOn w:val="1"/>
    <w:next w:val="1"/>
    <w:unhideWhenUsed/>
    <w:qFormat/>
    <w:uiPriority w:val="39"/>
    <w:rPr>
      <w:rFonts w:ascii="Times New Roman" w:hAnsi="Times New Roman" w:eastAsia="宋体"/>
      <w:sz w:val="2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99"/>
    <w:rPr>
      <w:rFonts w:ascii="Calibri" w:hAnsi="Calibri" w:eastAsia="宋体" w:cs="Times New Roman"/>
      <w:b/>
    </w:rPr>
  </w:style>
  <w:style w:type="character" w:styleId="18">
    <w:name w:val="FollowedHyperlink"/>
    <w:basedOn w:val="16"/>
    <w:unhideWhenUsed/>
    <w:qFormat/>
    <w:uiPriority w:val="99"/>
    <w:rPr>
      <w:color w:val="800080"/>
      <w:u w:val="single"/>
    </w:rPr>
  </w:style>
  <w:style w:type="character" w:styleId="19">
    <w:name w:val="Hyperlink"/>
    <w:unhideWhenUsed/>
    <w:qFormat/>
    <w:uiPriority w:val="99"/>
    <w:rPr>
      <w:color w:val="0000FF"/>
      <w:u w:val="single"/>
    </w:rPr>
  </w:style>
  <w:style w:type="character" w:styleId="20">
    <w:name w:val="footnote reference"/>
    <w:qFormat/>
    <w:uiPriority w:val="0"/>
    <w:rPr>
      <w:vertAlign w:val="superscript"/>
    </w:rPr>
  </w:style>
  <w:style w:type="paragraph" w:customStyle="1" w:styleId="21">
    <w:name w:val="Default"/>
    <w:qFormat/>
    <w:uiPriority w:val="0"/>
    <w:pPr>
      <w:widowControl w:val="0"/>
      <w:autoSpaceDE w:val="0"/>
      <w:autoSpaceDN w:val="0"/>
      <w:adjustRightInd w:val="0"/>
    </w:pPr>
    <w:rPr>
      <w:rFonts w:ascii="HiddenHorzOCl" w:hAnsi="等线" w:eastAsia="HiddenHorzOCl" w:cs="HiddenHorzOCl"/>
      <w:color w:val="000000"/>
      <w:sz w:val="24"/>
      <w:szCs w:val="24"/>
      <w:lang w:val="en-US" w:eastAsia="zh-CN" w:bidi="ar-SA"/>
    </w:rPr>
  </w:style>
  <w:style w:type="paragraph" w:customStyle="1" w:styleId="22">
    <w:name w:val="WPSOffice手动目录 1"/>
    <w:qFormat/>
    <w:uiPriority w:val="0"/>
    <w:rPr>
      <w:rFonts w:ascii="等线" w:hAnsi="等线" w:eastAsia="等线" w:cs="Times New Roman"/>
      <w:lang w:val="en-US" w:eastAsia="zh-CN" w:bidi="ar-SA"/>
    </w:rPr>
  </w:style>
  <w:style w:type="paragraph" w:customStyle="1" w:styleId="23">
    <w:name w:val="表格内容"/>
    <w:basedOn w:val="2"/>
    <w:qFormat/>
    <w:uiPriority w:val="0"/>
    <w:rPr>
      <w:rFonts w:ascii="Times New Roman" w:hAnsi="Times New Roman" w:cs="Times New Roman"/>
      <w:sz w:val="21"/>
    </w:rPr>
  </w:style>
  <w:style w:type="paragraph" w:customStyle="1" w:styleId="24">
    <w:name w:val="WPSOffice手动目录 2"/>
    <w:qFormat/>
    <w:uiPriority w:val="0"/>
    <w:pPr>
      <w:ind w:firstLine="643" w:firstLineChars="200"/>
    </w:pPr>
    <w:rPr>
      <w:rFonts w:ascii="Calibri" w:hAnsi="Calibri" w:eastAsia="等线" w:cs="宋体"/>
      <w:lang w:val="en-US" w:eastAsia="zh-CN" w:bidi="ar-SA"/>
    </w:rPr>
  </w:style>
  <w:style w:type="character" w:customStyle="1" w:styleId="25">
    <w:name w:val="font31"/>
    <w:qFormat/>
    <w:uiPriority w:val="0"/>
    <w:rPr>
      <w:rFonts w:hint="eastAsia" w:ascii="宋体" w:hAnsi="宋体" w:eastAsia="宋体" w:cs="宋体"/>
      <w:color w:val="000000"/>
      <w:sz w:val="22"/>
      <w:szCs w:val="22"/>
      <w:u w:val="none"/>
    </w:rPr>
  </w:style>
  <w:style w:type="character" w:customStyle="1" w:styleId="26">
    <w:name w:val="标题 3 字符"/>
    <w:link w:val="5"/>
    <w:qFormat/>
    <w:uiPriority w:val="0"/>
    <w:rPr>
      <w:rFonts w:ascii="黑体" w:hAnsi="黑体" w:eastAsia="楷体"/>
      <w:b/>
      <w:sz w:val="32"/>
      <w:szCs w:val="25"/>
    </w:rPr>
  </w:style>
  <w:style w:type="character" w:customStyle="1" w:styleId="27">
    <w:name w:val="标题 2 字符"/>
    <w:link w:val="4"/>
    <w:qFormat/>
    <w:uiPriority w:val="0"/>
    <w:rPr>
      <w:rFonts w:hint="eastAsia" w:ascii="宋体" w:hAnsi="宋体" w:eastAsia="黑体"/>
      <w:kern w:val="0"/>
      <w:szCs w:val="36"/>
    </w:rPr>
  </w:style>
  <w:style w:type="character" w:customStyle="1" w:styleId="28">
    <w:name w:val="font01"/>
    <w:basedOn w:val="16"/>
    <w:qFormat/>
    <w:uiPriority w:val="0"/>
    <w:rPr>
      <w:rFonts w:ascii="华文宋体" w:hAnsi="华文宋体" w:eastAsia="华文宋体" w:cs="华文宋体"/>
      <w:color w:val="000000"/>
      <w:sz w:val="24"/>
      <w:szCs w:val="24"/>
      <w:u w:val="none"/>
    </w:rPr>
  </w:style>
  <w:style w:type="character" w:customStyle="1" w:styleId="29">
    <w:name w:val="font11"/>
    <w:basedOn w:val="16"/>
    <w:qFormat/>
    <w:uiPriority w:val="0"/>
    <w:rPr>
      <w:rFonts w:hint="eastAsia" w:ascii="仿宋" w:hAnsi="仿宋" w:eastAsia="仿宋" w:cs="仿宋"/>
      <w:color w:val="000000"/>
      <w:sz w:val="24"/>
      <w:szCs w:val="24"/>
      <w:u w:val="none"/>
    </w:rPr>
  </w:style>
  <w:style w:type="paragraph" w:customStyle="1" w:styleId="30">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1">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32">
    <w:name w:val="font6"/>
    <w:basedOn w:val="1"/>
    <w:qFormat/>
    <w:uiPriority w:val="0"/>
    <w:pPr>
      <w:widowControl/>
      <w:spacing w:before="100" w:beforeAutospacing="1" w:after="100" w:afterAutospacing="1" w:line="240" w:lineRule="auto"/>
      <w:ind w:firstLine="0" w:firstLineChars="0"/>
      <w:jc w:val="left"/>
    </w:pPr>
    <w:rPr>
      <w:rFonts w:ascii="仿宋" w:hAnsi="仿宋" w:cs="宋体"/>
      <w:color w:val="000000"/>
      <w:kern w:val="0"/>
      <w:sz w:val="22"/>
      <w:szCs w:val="22"/>
    </w:rPr>
  </w:style>
  <w:style w:type="paragraph" w:customStyle="1" w:styleId="33">
    <w:name w:val="xl66"/>
    <w:basedOn w:val="1"/>
    <w:qFormat/>
    <w:uiPriority w:val="0"/>
    <w:pPr>
      <w:widowControl/>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34">
    <w:name w:val="xl67"/>
    <w:basedOn w:val="1"/>
    <w:qFormat/>
    <w:uiPriority w:val="0"/>
    <w:pPr>
      <w:widowControl/>
      <w:spacing w:before="100" w:beforeAutospacing="1" w:after="100" w:afterAutospacing="1" w:line="240" w:lineRule="auto"/>
      <w:ind w:firstLine="0" w:firstLineChars="0"/>
      <w:jc w:val="left"/>
    </w:pPr>
    <w:rPr>
      <w:rFonts w:ascii="仿宋" w:hAnsi="仿宋" w:cs="宋体"/>
      <w:b/>
      <w:bCs/>
      <w:kern w:val="0"/>
      <w:sz w:val="24"/>
      <w:szCs w:val="24"/>
    </w:rPr>
  </w:style>
  <w:style w:type="paragraph" w:customStyle="1" w:styleId="35">
    <w:name w:val="xl68"/>
    <w:basedOn w:val="1"/>
    <w:qFormat/>
    <w:uiPriority w:val="0"/>
    <w:pPr>
      <w:widowControl/>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36">
    <w:name w:val="xl69"/>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kern w:val="0"/>
      <w:sz w:val="24"/>
      <w:szCs w:val="24"/>
    </w:rPr>
  </w:style>
  <w:style w:type="paragraph" w:customStyle="1" w:styleId="37">
    <w:name w:val="xl70"/>
    <w:basedOn w:val="1"/>
    <w:qFormat/>
    <w:uiPriority w:val="0"/>
    <w:pPr>
      <w:widowControl/>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3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3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b/>
      <w:bCs/>
      <w:kern w:val="0"/>
      <w:sz w:val="24"/>
      <w:szCs w:val="24"/>
    </w:rPr>
  </w:style>
  <w:style w:type="paragraph" w:customStyle="1" w:styleId="4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b/>
      <w:bCs/>
      <w:kern w:val="0"/>
      <w:sz w:val="24"/>
      <w:szCs w:val="24"/>
    </w:rPr>
  </w:style>
  <w:style w:type="paragraph" w:customStyle="1" w:styleId="4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4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8"/>
      <w:szCs w:val="28"/>
    </w:rPr>
  </w:style>
  <w:style w:type="paragraph" w:customStyle="1" w:styleId="4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4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4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4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4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4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4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5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5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52">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5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5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5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5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color w:val="000000"/>
      <w:kern w:val="0"/>
      <w:sz w:val="24"/>
      <w:szCs w:val="24"/>
    </w:rPr>
  </w:style>
  <w:style w:type="paragraph" w:customStyle="1" w:styleId="5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2"/>
      <w:szCs w:val="22"/>
    </w:rPr>
  </w:style>
  <w:style w:type="paragraph" w:customStyle="1" w:styleId="5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59">
    <w:name w:val="xl92"/>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0">
    <w:name w:val="xl93"/>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1">
    <w:name w:val="xl94"/>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2">
    <w:name w:val="xl95"/>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3">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4">
    <w:name w:val="xl9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5">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66">
    <w:name w:val="xl9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67">
    <w:name w:val="xl100"/>
    <w:basedOn w:val="1"/>
    <w:qFormat/>
    <w:uiPriority w:val="0"/>
    <w:pPr>
      <w:widowControl/>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6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6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70">
    <w:name w:val="xl1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71">
    <w:name w:val="xl10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kern w:val="0"/>
      <w:sz w:val="24"/>
      <w:szCs w:val="24"/>
    </w:rPr>
  </w:style>
  <w:style w:type="paragraph" w:customStyle="1" w:styleId="72">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73">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74">
    <w:name w:val="xl10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 w:hAnsi="仿宋" w:cs="宋体"/>
      <w:b/>
      <w:bCs/>
      <w:kern w:val="0"/>
      <w:sz w:val="24"/>
      <w:szCs w:val="24"/>
    </w:rPr>
  </w:style>
  <w:style w:type="paragraph" w:customStyle="1" w:styleId="75">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b/>
      <w:bCs/>
      <w:kern w:val="0"/>
      <w:sz w:val="24"/>
      <w:szCs w:val="24"/>
    </w:rPr>
  </w:style>
  <w:style w:type="paragraph" w:customStyle="1" w:styleId="76">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 w:hAnsi="仿宋" w:cs="宋体"/>
      <w:b/>
      <w:bCs/>
      <w:kern w:val="0"/>
      <w:sz w:val="28"/>
      <w:szCs w:val="28"/>
    </w:rPr>
  </w:style>
  <w:style w:type="paragraph" w:customStyle="1" w:styleId="77">
    <w:name w:val="xl11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仿宋" w:hAnsi="仿宋" w:cs="宋体"/>
      <w:b/>
      <w:bCs/>
      <w:kern w:val="0"/>
      <w:sz w:val="28"/>
      <w:szCs w:val="28"/>
    </w:rPr>
  </w:style>
  <w:style w:type="paragraph" w:customStyle="1" w:styleId="78">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仿宋" w:hAnsi="仿宋" w:cs="宋体"/>
      <w:b/>
      <w:bCs/>
      <w:kern w:val="0"/>
      <w:sz w:val="28"/>
      <w:szCs w:val="28"/>
    </w:rPr>
  </w:style>
  <w:style w:type="paragraph" w:customStyle="1" w:styleId="79">
    <w:name w:val="xl11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仿宋" w:hAnsi="仿宋" w:cs="宋体"/>
      <w:kern w:val="0"/>
      <w:sz w:val="24"/>
      <w:szCs w:val="24"/>
    </w:rPr>
  </w:style>
  <w:style w:type="character" w:customStyle="1" w:styleId="80">
    <w:name w:val="font51"/>
    <w:basedOn w:val="16"/>
    <w:qFormat/>
    <w:uiPriority w:val="0"/>
    <w:rPr>
      <w:rFonts w:hint="eastAsia" w:ascii="仿宋" w:hAnsi="仿宋" w:eastAsia="仿宋" w:cs="仿宋"/>
      <w:color w:val="000000"/>
      <w:sz w:val="22"/>
      <w:szCs w:val="22"/>
      <w:u w:val="none"/>
    </w:rPr>
  </w:style>
  <w:style w:type="character" w:customStyle="1" w:styleId="81">
    <w:name w:val="NormalCharacter"/>
    <w:link w:val="1"/>
    <w:semiHidden/>
    <w:qFormat/>
    <w:uiPriority w:val="0"/>
    <w:rPr>
      <w:rFonts w:ascii="Times New Roman" w:hAnsi="Times New Roman" w:eastAsia="仿宋" w:cs="Times New Roman"/>
      <w:kern w:val="2"/>
      <w:sz w:val="32"/>
      <w:lang w:val="en-US" w:eastAsia="zh-CN" w:bidi="ar-SA"/>
    </w:rPr>
  </w:style>
  <w:style w:type="character" w:customStyle="1" w:styleId="82">
    <w:name w:val="font112"/>
    <w:basedOn w:val="16"/>
    <w:qFormat/>
    <w:uiPriority w:val="0"/>
    <w:rPr>
      <w:rFonts w:hint="eastAsia" w:ascii="宋体" w:hAnsi="宋体" w:eastAsia="宋体" w:cs="宋体"/>
      <w:color w:val="000000"/>
      <w:sz w:val="28"/>
      <w:szCs w:val="28"/>
      <w:u w:val="none"/>
    </w:rPr>
  </w:style>
  <w:style w:type="character" w:customStyle="1" w:styleId="83">
    <w:name w:val="font41"/>
    <w:basedOn w:val="16"/>
    <w:qFormat/>
    <w:uiPriority w:val="0"/>
    <w:rPr>
      <w:rFonts w:hint="eastAsia" w:ascii="仿宋" w:hAnsi="仿宋" w:eastAsia="仿宋" w:cs="仿宋"/>
      <w:color w:val="000000"/>
      <w:sz w:val="22"/>
      <w:szCs w:val="22"/>
      <w:u w:val="none"/>
    </w:rPr>
  </w:style>
  <w:style w:type="paragraph" w:customStyle="1" w:styleId="84">
    <w:name w:val="Normal Indent1"/>
    <w:qFormat/>
    <w:uiPriority w:val="99"/>
    <w:pPr>
      <w:widowControl w:val="0"/>
      <w:ind w:firstLine="420" w:firstLineChars="200"/>
      <w:jc w:val="both"/>
    </w:pPr>
    <w:rPr>
      <w:rFonts w:ascii="Times New Roman" w:hAnsi="Times New Roman"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163</Pages>
  <Words>74203</Words>
  <Characters>80482</Characters>
  <Lines>565</Lines>
  <Paragraphs>159</Paragraphs>
  <TotalTime>50</TotalTime>
  <ScaleCrop>false</ScaleCrop>
  <LinksUpToDate>false</LinksUpToDate>
  <CharactersWithSpaces>80851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2020-11-27T10:13:00Z</dcterms:created>
  <dc:creator>13500020642</dc:creator>
  <cp:lastModifiedBy>h^</cp:lastModifiedBy>
  <cp:lastPrinted>2021-01-21T09:59:00Z</cp:lastPrinted>
  <dcterms:modified xsi:type="dcterms:W3CDTF">2024-07-02T07:36:04Z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FE9F55445D8F4D4DAA5AA8931684606E_13</vt:lpwstr>
  </property>
</Properties>
</file>