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5D02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44"/>
          <w:szCs w:val="44"/>
          <w:highlight w:val="none"/>
          <w:lang w:val="en-US" w:eastAsia="zh-CN"/>
        </w:rPr>
      </w:pPr>
      <w:r>
        <w:rPr>
          <w:rFonts w:hint="eastAsia" w:ascii="宋体" w:hAnsi="宋体" w:eastAsia="宋体" w:cs="宋体"/>
          <w:color w:val="auto"/>
          <w:sz w:val="44"/>
          <w:szCs w:val="44"/>
          <w:highlight w:val="none"/>
          <w:lang w:val="en-US" w:eastAsia="zh-CN"/>
        </w:rPr>
        <w:t>坡头区大王庙渔港管理章程</w:t>
      </w:r>
    </w:p>
    <w:p w14:paraId="3051B31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征求意见稿</w:t>
      </w:r>
      <w:r>
        <w:rPr>
          <w:rFonts w:hint="eastAsia" w:ascii="宋体" w:hAnsi="宋体" w:eastAsia="宋体" w:cs="宋体"/>
          <w:color w:val="auto"/>
          <w:sz w:val="32"/>
          <w:szCs w:val="32"/>
          <w:highlight w:val="none"/>
        </w:rPr>
        <w:t>）</w:t>
      </w:r>
    </w:p>
    <w:p w14:paraId="0FBB3AF4">
      <w:pPr>
        <w:keepNext w:val="0"/>
        <w:keepLines w:val="0"/>
        <w:pageBreakBefore w:val="0"/>
        <w:widowControl w:val="0"/>
        <w:kinsoku/>
        <w:wordWrap/>
        <w:overflowPunct/>
        <w:topLinePunct w:val="0"/>
        <w:autoSpaceDE/>
        <w:autoSpaceDN/>
        <w:bidi w:val="0"/>
        <w:adjustRightInd/>
        <w:snapToGrid/>
        <w:spacing w:before="313" w:beforeLines="100" w:after="313" w:afterLines="100" w:line="570" w:lineRule="exact"/>
        <w:jc w:val="center"/>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第一章 </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总则</w:t>
      </w:r>
      <w:bookmarkStart w:id="0" w:name="_GoBack"/>
      <w:bookmarkEnd w:id="0"/>
    </w:p>
    <w:p w14:paraId="604A220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第一条</w:t>
      </w:r>
      <w:r>
        <w:rPr>
          <w:rFonts w:hint="eastAsia" w:ascii="宋体" w:hAnsi="宋体" w:eastAsia="宋体" w:cs="宋体"/>
          <w:color w:val="auto"/>
          <w:sz w:val="32"/>
          <w:szCs w:val="32"/>
          <w:highlight w:val="none"/>
          <w:lang w:val="en-US" w:eastAsia="zh-CN"/>
        </w:rPr>
        <w:t xml:space="preserve">  （目的）</w:t>
      </w:r>
      <w:r>
        <w:rPr>
          <w:rFonts w:hint="eastAsia" w:ascii="宋体" w:hAnsi="宋体" w:eastAsia="宋体" w:cs="宋体"/>
          <w:color w:val="auto"/>
          <w:sz w:val="32"/>
          <w:szCs w:val="32"/>
          <w:highlight w:val="none"/>
        </w:rPr>
        <w:t>为维护渔港秩序，保护渔港环境，促进渔业经济发展，加强渔港监督管理，保障渔港设施、渔业船舶、公民人身及财产安全，根据《中华人民共和国海上交通安全法》《中华人民共和国环境保护法》《中华人民共和国渔港水域交通安全管理条例》《广东省渔港和渔业船舶管理条例》等有关法律、法规，结合</w:t>
      </w:r>
      <w:r>
        <w:rPr>
          <w:rFonts w:hint="eastAsia" w:ascii="宋体" w:hAnsi="宋体" w:eastAsia="宋体" w:cs="宋体"/>
          <w:color w:val="auto"/>
          <w:sz w:val="32"/>
          <w:szCs w:val="32"/>
          <w:highlight w:val="none"/>
          <w:lang w:val="en-US" w:eastAsia="zh-CN"/>
        </w:rPr>
        <w:t>坡头区大王庙渔港</w:t>
      </w:r>
      <w:r>
        <w:rPr>
          <w:rFonts w:hint="eastAsia" w:ascii="宋体" w:hAnsi="宋体" w:eastAsia="宋体" w:cs="宋体"/>
          <w:color w:val="auto"/>
          <w:sz w:val="32"/>
          <w:szCs w:val="32"/>
          <w:highlight w:val="none"/>
        </w:rPr>
        <w:t>实际，制定本章程。</w:t>
      </w:r>
    </w:p>
    <w:p w14:paraId="38C99DCA">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第二条</w:t>
      </w:r>
      <w:r>
        <w:rPr>
          <w:rFonts w:hint="eastAsia" w:ascii="宋体" w:hAnsi="宋体" w:eastAsia="宋体" w:cs="宋体"/>
          <w:color w:val="auto"/>
          <w:sz w:val="32"/>
          <w:szCs w:val="32"/>
          <w:highlight w:val="none"/>
          <w:lang w:val="en-US" w:eastAsia="zh-CN"/>
        </w:rPr>
        <w:t xml:space="preserve">  （范围）</w:t>
      </w:r>
      <w:r>
        <w:rPr>
          <w:rFonts w:hint="eastAsia" w:ascii="宋体" w:hAnsi="宋体" w:eastAsia="宋体" w:cs="宋体"/>
          <w:color w:val="auto"/>
          <w:sz w:val="32"/>
          <w:szCs w:val="32"/>
          <w:highlight w:val="none"/>
        </w:rPr>
        <w:t>本章程适用于在</w:t>
      </w:r>
      <w:r>
        <w:rPr>
          <w:rFonts w:hint="eastAsia" w:ascii="宋体" w:hAnsi="宋体" w:eastAsia="宋体" w:cs="宋体"/>
          <w:color w:val="auto"/>
          <w:sz w:val="32"/>
          <w:szCs w:val="32"/>
          <w:highlight w:val="none"/>
          <w:lang w:val="en-US" w:eastAsia="zh-CN"/>
        </w:rPr>
        <w:t>坡头区大王庙渔港（以下简称“本渔港”）</w:t>
      </w:r>
      <w:r>
        <w:rPr>
          <w:rFonts w:hint="eastAsia" w:ascii="宋体" w:hAnsi="宋体" w:eastAsia="宋体" w:cs="宋体"/>
          <w:color w:val="auto"/>
          <w:sz w:val="32"/>
          <w:szCs w:val="32"/>
          <w:highlight w:val="none"/>
        </w:rPr>
        <w:t>范围内的船舶及从事渔港</w:t>
      </w:r>
      <w:r>
        <w:rPr>
          <w:rFonts w:hint="eastAsia" w:ascii="宋体" w:hAnsi="宋体" w:eastAsia="宋体" w:cs="宋体"/>
          <w:color w:val="auto"/>
          <w:sz w:val="32"/>
          <w:szCs w:val="32"/>
          <w:highlight w:val="none"/>
          <w:lang w:val="en-US" w:eastAsia="zh-CN"/>
        </w:rPr>
        <w:t>运营</w:t>
      </w:r>
      <w:r>
        <w:rPr>
          <w:rFonts w:hint="eastAsia" w:ascii="宋体" w:hAnsi="宋体" w:eastAsia="宋体" w:cs="宋体"/>
          <w:color w:val="auto"/>
          <w:sz w:val="32"/>
          <w:szCs w:val="32"/>
          <w:highlight w:val="none"/>
        </w:rPr>
        <w:t>管理、经营活动的公民、法人和其他组织。</w:t>
      </w:r>
    </w:p>
    <w:p w14:paraId="739B183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第三条</w:t>
      </w:r>
      <w:r>
        <w:rPr>
          <w:rFonts w:hint="eastAsia" w:ascii="宋体" w:hAnsi="宋体" w:eastAsia="宋体" w:cs="宋体"/>
          <w:color w:val="auto"/>
          <w:sz w:val="32"/>
          <w:szCs w:val="32"/>
          <w:highlight w:val="none"/>
          <w:lang w:val="en-US" w:eastAsia="zh-CN"/>
        </w:rPr>
        <w:t xml:space="preserve">  （部门分工）坡头区农业农村局</w:t>
      </w:r>
      <w:r>
        <w:rPr>
          <w:rFonts w:hint="eastAsia" w:ascii="宋体" w:hAnsi="宋体" w:eastAsia="宋体" w:cs="宋体"/>
          <w:color w:val="auto"/>
          <w:sz w:val="32"/>
          <w:szCs w:val="32"/>
          <w:highlight w:val="none"/>
          <w:lang w:eastAsia="zh-CN"/>
        </w:rPr>
        <w:t>为</w:t>
      </w:r>
      <w:r>
        <w:rPr>
          <w:rFonts w:hint="eastAsia" w:ascii="宋体" w:hAnsi="宋体" w:eastAsia="宋体" w:cs="宋体"/>
          <w:color w:val="auto"/>
          <w:sz w:val="32"/>
          <w:szCs w:val="32"/>
          <w:highlight w:val="none"/>
          <w:lang w:val="en-US" w:eastAsia="zh-CN"/>
        </w:rPr>
        <w:t>本</w:t>
      </w:r>
      <w:r>
        <w:rPr>
          <w:rFonts w:hint="eastAsia" w:ascii="宋体" w:hAnsi="宋体" w:eastAsia="宋体" w:cs="宋体"/>
          <w:color w:val="auto"/>
          <w:sz w:val="32"/>
          <w:szCs w:val="32"/>
          <w:highlight w:val="none"/>
          <w:lang w:eastAsia="zh-CN"/>
        </w:rPr>
        <w:t>渔港的</w:t>
      </w:r>
      <w:r>
        <w:rPr>
          <w:rFonts w:hint="eastAsia" w:ascii="宋体" w:hAnsi="宋体" w:eastAsia="宋体" w:cs="宋体"/>
          <w:color w:val="auto"/>
          <w:sz w:val="32"/>
          <w:szCs w:val="32"/>
          <w:highlight w:val="none"/>
          <w:lang w:val="en-US" w:eastAsia="zh-CN"/>
        </w:rPr>
        <w:t>行政</w:t>
      </w:r>
      <w:r>
        <w:rPr>
          <w:rFonts w:hint="eastAsia" w:ascii="宋体" w:hAnsi="宋体" w:eastAsia="宋体" w:cs="宋体"/>
          <w:color w:val="auto"/>
          <w:sz w:val="32"/>
          <w:szCs w:val="32"/>
          <w:highlight w:val="none"/>
          <w:lang w:eastAsia="zh-CN"/>
        </w:rPr>
        <w:t>主管部门。</w:t>
      </w:r>
      <w:r>
        <w:rPr>
          <w:rFonts w:hint="eastAsia" w:ascii="宋体" w:hAnsi="宋体" w:eastAsia="宋体" w:cs="宋体"/>
          <w:b w:val="0"/>
          <w:bCs w:val="0"/>
          <w:color w:val="000000"/>
          <w:sz w:val="31"/>
          <w:szCs w:val="31"/>
        </w:rPr>
        <w:t>湛江市海洋综合执法支队直属大队（以下简称“市海洋执法大队”）</w:t>
      </w:r>
      <w:r>
        <w:rPr>
          <w:rFonts w:hint="eastAsia" w:ascii="宋体" w:hAnsi="宋体" w:eastAsia="宋体" w:cs="宋体"/>
          <w:color w:val="auto"/>
          <w:sz w:val="32"/>
          <w:szCs w:val="32"/>
          <w:highlight w:val="none"/>
          <w:lang w:val="en-US" w:eastAsia="zh-CN"/>
        </w:rPr>
        <w:t>为本</w:t>
      </w:r>
      <w:r>
        <w:rPr>
          <w:rFonts w:hint="eastAsia" w:ascii="宋体" w:hAnsi="宋体" w:eastAsia="宋体" w:cs="宋体"/>
          <w:color w:val="auto"/>
          <w:sz w:val="32"/>
          <w:szCs w:val="32"/>
          <w:highlight w:val="none"/>
          <w:lang w:eastAsia="zh-CN"/>
        </w:rPr>
        <w:t>渔港</w:t>
      </w:r>
      <w:r>
        <w:rPr>
          <w:rFonts w:hint="eastAsia" w:ascii="宋体" w:hAnsi="宋体" w:eastAsia="宋体" w:cs="宋体"/>
          <w:color w:val="auto"/>
          <w:sz w:val="32"/>
          <w:szCs w:val="32"/>
          <w:highlight w:val="none"/>
          <w:lang w:val="en-US" w:eastAsia="zh-CN"/>
        </w:rPr>
        <w:t>的监督管理机构，</w:t>
      </w:r>
      <w:r>
        <w:rPr>
          <w:rFonts w:hint="eastAsia" w:ascii="宋体" w:hAnsi="宋体" w:eastAsia="宋体" w:cs="宋体"/>
          <w:kern w:val="2"/>
          <w:sz w:val="32"/>
          <w:szCs w:val="32"/>
          <w:highlight w:val="none"/>
          <w:lang w:val="en-US" w:eastAsia="zh-CN" w:bidi="ar"/>
        </w:rPr>
        <w:t>依法对</w:t>
      </w:r>
      <w:r>
        <w:rPr>
          <w:rFonts w:hint="eastAsia" w:ascii="宋体" w:hAnsi="宋体" w:eastAsia="宋体" w:cs="宋体"/>
          <w:color w:val="auto"/>
          <w:sz w:val="32"/>
          <w:szCs w:val="32"/>
          <w:highlight w:val="none"/>
          <w:lang w:val="en-US" w:eastAsia="zh-CN"/>
        </w:rPr>
        <w:t>本</w:t>
      </w:r>
      <w:r>
        <w:rPr>
          <w:rFonts w:hint="eastAsia" w:ascii="宋体" w:hAnsi="宋体" w:eastAsia="宋体" w:cs="宋体"/>
          <w:color w:val="auto"/>
          <w:sz w:val="32"/>
          <w:szCs w:val="32"/>
          <w:highlight w:val="none"/>
          <w:lang w:eastAsia="zh-CN"/>
        </w:rPr>
        <w:t>渔港</w:t>
      </w:r>
      <w:r>
        <w:rPr>
          <w:rFonts w:hint="eastAsia" w:ascii="宋体" w:hAnsi="宋体" w:eastAsia="宋体" w:cs="宋体"/>
          <w:kern w:val="2"/>
          <w:sz w:val="32"/>
          <w:szCs w:val="32"/>
          <w:highlight w:val="none"/>
          <w:lang w:val="en-US" w:eastAsia="zh-CN" w:bidi="ar"/>
        </w:rPr>
        <w:t>水域交通安全实施监督管理。南三</w:t>
      </w:r>
      <w:r>
        <w:rPr>
          <w:rFonts w:hint="eastAsia" w:ascii="宋体" w:hAnsi="宋体" w:eastAsia="宋体" w:cs="宋体"/>
          <w:color w:val="auto"/>
          <w:sz w:val="32"/>
          <w:szCs w:val="32"/>
          <w:highlight w:val="none"/>
          <w:lang w:val="en-US" w:eastAsia="zh-CN"/>
        </w:rPr>
        <w:t>镇</w:t>
      </w:r>
      <w:r>
        <w:rPr>
          <w:rFonts w:hint="eastAsia" w:ascii="宋体" w:hAnsi="宋体" w:eastAsia="宋体" w:cs="宋体"/>
          <w:color w:val="auto"/>
          <w:sz w:val="32"/>
          <w:szCs w:val="32"/>
          <w:highlight w:val="none"/>
          <w:lang w:eastAsia="zh-CN"/>
        </w:rPr>
        <w:t>人民政府为本</w:t>
      </w:r>
      <w:r>
        <w:rPr>
          <w:rFonts w:hint="eastAsia" w:ascii="宋体" w:hAnsi="宋体" w:eastAsia="宋体" w:cs="宋体"/>
          <w:color w:val="auto"/>
          <w:sz w:val="32"/>
          <w:szCs w:val="32"/>
          <w:highlight w:val="none"/>
        </w:rPr>
        <w:t>渔港管理</w:t>
      </w:r>
      <w:r>
        <w:rPr>
          <w:rFonts w:hint="eastAsia" w:ascii="宋体" w:hAnsi="宋体" w:eastAsia="宋体" w:cs="宋体"/>
          <w:color w:val="auto"/>
          <w:sz w:val="32"/>
          <w:szCs w:val="32"/>
          <w:highlight w:val="none"/>
          <w:lang w:eastAsia="zh-CN"/>
        </w:rPr>
        <w:t>工作责任</w:t>
      </w:r>
      <w:r>
        <w:rPr>
          <w:rFonts w:hint="eastAsia" w:ascii="宋体" w:hAnsi="宋体" w:eastAsia="宋体" w:cs="宋体"/>
          <w:color w:val="auto"/>
          <w:sz w:val="32"/>
          <w:szCs w:val="32"/>
          <w:highlight w:val="none"/>
        </w:rPr>
        <w:t>主体</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rPr>
        <w:t>负责</w:t>
      </w:r>
      <w:r>
        <w:rPr>
          <w:rFonts w:hint="eastAsia" w:ascii="宋体" w:hAnsi="宋体" w:eastAsia="宋体" w:cs="宋体"/>
          <w:color w:val="auto"/>
          <w:sz w:val="32"/>
          <w:szCs w:val="32"/>
          <w:highlight w:val="none"/>
          <w:lang w:eastAsia="zh-CN"/>
        </w:rPr>
        <w:t>本</w:t>
      </w:r>
      <w:r>
        <w:rPr>
          <w:rFonts w:hint="eastAsia" w:ascii="宋体" w:hAnsi="宋体" w:eastAsia="宋体" w:cs="宋体"/>
          <w:color w:val="auto"/>
          <w:sz w:val="32"/>
          <w:szCs w:val="32"/>
          <w:highlight w:val="none"/>
        </w:rPr>
        <w:t>渔港事务管理工作</w:t>
      </w:r>
      <w:r>
        <w:rPr>
          <w:rFonts w:hint="eastAsia" w:ascii="宋体" w:hAnsi="宋体" w:eastAsia="宋体" w:cs="宋体"/>
          <w:color w:val="auto"/>
          <w:sz w:val="32"/>
          <w:szCs w:val="32"/>
          <w:highlight w:val="none"/>
          <w:lang w:eastAsia="zh-CN"/>
        </w:rPr>
        <w:t>，</w:t>
      </w:r>
      <w:r>
        <w:rPr>
          <w:rFonts w:hint="eastAsia" w:ascii="宋体" w:hAnsi="宋体" w:eastAsia="宋体" w:cs="宋体"/>
          <w:color w:val="auto"/>
          <w:spacing w:val="0"/>
          <w:w w:val="100"/>
          <w:position w:val="0"/>
          <w:sz w:val="32"/>
          <w:szCs w:val="32"/>
          <w:highlight w:val="none"/>
        </w:rPr>
        <w:t>包括陆域（含码头泊位安排、经营）环境卫生、渔港设施维护管理和渔港生产经营单位管理等</w:t>
      </w:r>
      <w:r>
        <w:rPr>
          <w:rFonts w:hint="eastAsia" w:ascii="宋体" w:hAnsi="宋体" w:eastAsia="宋体" w:cs="宋体"/>
          <w:color w:val="auto"/>
          <w:sz w:val="32"/>
          <w:szCs w:val="32"/>
          <w:highlight w:val="none"/>
        </w:rPr>
        <w:t>。</w:t>
      </w:r>
    </w:p>
    <w:p w14:paraId="7AD004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b w:val="0"/>
          <w:bCs w:val="0"/>
          <w:color w:val="000000"/>
          <w:sz w:val="31"/>
          <w:szCs w:val="31"/>
        </w:rPr>
      </w:pPr>
      <w:r>
        <w:rPr>
          <w:rFonts w:hint="eastAsia" w:ascii="宋体" w:hAnsi="宋体" w:eastAsia="宋体" w:cs="宋体"/>
          <w:color w:val="auto"/>
          <w:sz w:val="32"/>
          <w:szCs w:val="32"/>
          <w:highlight w:val="none"/>
          <w:lang w:val="en-US" w:eastAsia="zh-CN"/>
        </w:rPr>
        <w:t>区农业农村局</w:t>
      </w:r>
      <w:r>
        <w:rPr>
          <w:rFonts w:hint="eastAsia" w:ascii="宋体" w:hAnsi="宋体" w:eastAsia="宋体" w:cs="宋体"/>
          <w:b w:val="0"/>
          <w:bCs w:val="0"/>
          <w:color w:val="000000"/>
          <w:sz w:val="31"/>
          <w:szCs w:val="31"/>
        </w:rPr>
        <w:t>负责指导渔港区域内的渔港水域安全管理、渔业船舶管理和协助渔政、渔港监督管理。</w:t>
      </w:r>
    </w:p>
    <w:p w14:paraId="282E31CE">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ascii="宋体" w:hAnsi="宋体" w:eastAsia="宋体" w:cs="宋体"/>
          <w:b w:val="0"/>
          <w:bCs w:val="0"/>
          <w:color w:val="000000"/>
          <w:sz w:val="31"/>
          <w:szCs w:val="31"/>
        </w:rPr>
      </w:pPr>
      <w:r>
        <w:rPr>
          <w:rFonts w:hint="eastAsia" w:ascii="宋体" w:hAnsi="宋体" w:eastAsia="宋体" w:cs="宋体"/>
          <w:b w:val="0"/>
          <w:bCs w:val="0"/>
          <w:color w:val="000000"/>
          <w:sz w:val="31"/>
          <w:szCs w:val="31"/>
        </w:rPr>
        <w:t>市海洋执法大队负责渔船安全、渔港水域交通安全的监督管理和相关执法工作</w:t>
      </w:r>
      <w:r>
        <w:rPr>
          <w:rFonts w:hint="eastAsia" w:ascii="宋体" w:hAnsi="宋体" w:eastAsia="宋体" w:cs="宋体"/>
          <w:b w:val="0"/>
          <w:bCs w:val="0"/>
          <w:color w:val="000000"/>
          <w:sz w:val="31"/>
          <w:szCs w:val="31"/>
          <w:lang w:eastAsia="zh-CN"/>
        </w:rPr>
        <w:t>，</w:t>
      </w:r>
      <w:r>
        <w:rPr>
          <w:rFonts w:hint="eastAsia" w:ascii="宋体" w:hAnsi="宋体" w:eastAsia="宋体" w:cs="宋体"/>
          <w:b w:val="0"/>
          <w:bCs w:val="0"/>
          <w:color w:val="000000"/>
          <w:sz w:val="31"/>
          <w:szCs w:val="31"/>
        </w:rPr>
        <w:t>负责对渔港和渔业船舶的监督管理。</w:t>
      </w:r>
    </w:p>
    <w:p w14:paraId="398483D7">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ascii="宋体" w:hAnsi="宋体" w:eastAsia="宋体" w:cs="宋体"/>
          <w:b w:val="0"/>
          <w:bCs w:val="0"/>
          <w:color w:val="000000"/>
          <w:sz w:val="31"/>
          <w:szCs w:val="31"/>
        </w:rPr>
      </w:pPr>
      <w:r>
        <w:rPr>
          <w:rFonts w:hint="eastAsia" w:ascii="宋体" w:hAnsi="宋体" w:eastAsia="宋体" w:cs="宋体"/>
          <w:b w:val="0"/>
          <w:bCs w:val="0"/>
          <w:color w:val="000000"/>
          <w:sz w:val="31"/>
          <w:szCs w:val="31"/>
          <w:lang w:val="en-US" w:eastAsia="zh-CN"/>
        </w:rPr>
        <w:t>南三镇人民政府</w:t>
      </w:r>
      <w:r>
        <w:rPr>
          <w:rFonts w:hint="eastAsia" w:ascii="宋体" w:hAnsi="宋体" w:eastAsia="宋体" w:cs="宋体"/>
          <w:b w:val="0"/>
          <w:bCs w:val="0"/>
          <w:color w:val="000000"/>
          <w:sz w:val="31"/>
          <w:szCs w:val="31"/>
        </w:rPr>
        <w:t>履行属地管理职能，承担属地社会管理 责任。履行“港长制”职责，负责整合各方力量，做好资源管理、安全生产、生态保护、港区秩序、应急处置等各项工 作，结合乡村振兴、美丽乡村建设等工作，采取有效措施加强渔港环境综合整治和污染防治。</w:t>
      </w:r>
    </w:p>
    <w:p w14:paraId="080D3468">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ascii="宋体" w:hAnsi="宋体" w:eastAsia="宋体" w:cs="宋体"/>
          <w:b w:val="0"/>
          <w:bCs w:val="0"/>
          <w:color w:val="000000"/>
          <w:sz w:val="31"/>
          <w:szCs w:val="31"/>
        </w:rPr>
      </w:pPr>
      <w:r>
        <w:rPr>
          <w:rFonts w:hint="eastAsia" w:ascii="宋体" w:hAnsi="宋体" w:eastAsia="宋体" w:cs="宋体"/>
          <w:b w:val="0"/>
          <w:bCs w:val="0"/>
          <w:color w:val="000000"/>
          <w:sz w:val="31"/>
          <w:szCs w:val="31"/>
        </w:rPr>
        <w:t xml:space="preserve"> 区市场监督管理部门按职责负责渔港区域内各类市场 主体经营行为的服务和监督管理，营造公平竞争环境。</w:t>
      </w:r>
    </w:p>
    <w:p w14:paraId="6AF46F36">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ascii="宋体" w:hAnsi="宋体" w:eastAsia="宋体" w:cs="宋体"/>
          <w:b w:val="0"/>
          <w:bCs w:val="0"/>
          <w:color w:val="000000"/>
          <w:sz w:val="31"/>
          <w:szCs w:val="31"/>
        </w:rPr>
      </w:pPr>
      <w:r>
        <w:rPr>
          <w:rFonts w:hint="eastAsia" w:ascii="宋体" w:hAnsi="宋体" w:eastAsia="宋体" w:cs="宋体"/>
          <w:b w:val="0"/>
          <w:bCs w:val="0"/>
          <w:color w:val="000000"/>
          <w:sz w:val="31"/>
          <w:szCs w:val="31"/>
        </w:rPr>
        <w:t xml:space="preserve"> 区发改部门负责牵头协调有关部门共同对渔港区域内的成品油经营活动开展监督管理工作。</w:t>
      </w:r>
    </w:p>
    <w:p w14:paraId="733A05BF">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ascii="宋体" w:hAnsi="宋体" w:eastAsia="宋体" w:cs="宋体"/>
          <w:b w:val="0"/>
          <w:bCs w:val="0"/>
          <w:color w:val="000000"/>
          <w:sz w:val="31"/>
          <w:szCs w:val="31"/>
        </w:rPr>
      </w:pPr>
      <w:r>
        <w:rPr>
          <w:rFonts w:hint="eastAsia" w:ascii="宋体" w:hAnsi="宋体" w:eastAsia="宋体" w:cs="宋体"/>
          <w:b w:val="0"/>
          <w:bCs w:val="0"/>
          <w:color w:val="000000"/>
          <w:sz w:val="31"/>
          <w:szCs w:val="31"/>
        </w:rPr>
        <w:t xml:space="preserve"> 区应急管理部门负责渔港区域内的安全生产综合监管 工作。 </w:t>
      </w:r>
    </w:p>
    <w:p w14:paraId="09A13BC5">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ascii="宋体" w:hAnsi="宋体" w:eastAsia="宋体" w:cs="宋体"/>
          <w:b w:val="0"/>
          <w:bCs w:val="0"/>
          <w:color w:val="000000"/>
          <w:sz w:val="31"/>
          <w:szCs w:val="31"/>
        </w:rPr>
      </w:pPr>
      <w:r>
        <w:rPr>
          <w:rFonts w:hint="eastAsia" w:ascii="宋体" w:hAnsi="宋体" w:eastAsia="宋体" w:cs="宋体"/>
          <w:b w:val="0"/>
          <w:bCs w:val="0"/>
          <w:color w:val="000000"/>
          <w:sz w:val="31"/>
          <w:szCs w:val="31"/>
        </w:rPr>
        <w:t>区消防救援部门负责对渔港区域的消防管理工作进行指导，并对渔港陆域范围的消防管理工作进行监督。</w:t>
      </w:r>
    </w:p>
    <w:p w14:paraId="00B93A5F">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ascii="宋体" w:hAnsi="宋体" w:eastAsia="宋体" w:cs="宋体"/>
          <w:b w:val="0"/>
          <w:bCs w:val="0"/>
          <w:color w:val="000000"/>
          <w:sz w:val="31"/>
          <w:szCs w:val="31"/>
        </w:rPr>
      </w:pPr>
      <w:r>
        <w:rPr>
          <w:rFonts w:hint="eastAsia" w:ascii="宋体" w:hAnsi="宋体" w:eastAsia="宋体" w:cs="宋体"/>
          <w:b w:val="0"/>
          <w:bCs w:val="0"/>
          <w:color w:val="000000"/>
          <w:sz w:val="31"/>
          <w:szCs w:val="31"/>
        </w:rPr>
        <w:t xml:space="preserve"> 区公安部门负责渔港区域内社会治安及出海渔船管理 等工作，配合做好船舶通航及港口的社会治安综合治理等工 作。</w:t>
      </w:r>
    </w:p>
    <w:p w14:paraId="106EB625">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ascii="宋体" w:hAnsi="宋体" w:eastAsia="宋体" w:cs="宋体"/>
          <w:b w:val="0"/>
          <w:bCs w:val="0"/>
          <w:color w:val="000000"/>
          <w:sz w:val="31"/>
          <w:szCs w:val="31"/>
        </w:rPr>
      </w:pPr>
      <w:r>
        <w:rPr>
          <w:rFonts w:hint="eastAsia" w:ascii="宋体" w:hAnsi="宋体" w:eastAsia="宋体" w:cs="宋体"/>
          <w:b w:val="0"/>
          <w:bCs w:val="0"/>
          <w:color w:val="000000"/>
          <w:sz w:val="31"/>
          <w:szCs w:val="31"/>
        </w:rPr>
        <w:t xml:space="preserve"> 区城市综合执法部门负责指导</w:t>
      </w:r>
      <w:r>
        <w:rPr>
          <w:rFonts w:hint="eastAsia" w:ascii="宋体" w:hAnsi="宋体" w:eastAsia="宋体" w:cs="宋体"/>
          <w:b w:val="0"/>
          <w:bCs w:val="0"/>
          <w:color w:val="000000"/>
          <w:sz w:val="31"/>
          <w:szCs w:val="31"/>
          <w:lang w:val="en-US" w:eastAsia="zh-CN"/>
        </w:rPr>
        <w:t>南三镇人民政府</w:t>
      </w:r>
      <w:r>
        <w:rPr>
          <w:rFonts w:hint="eastAsia" w:ascii="宋体" w:hAnsi="宋体" w:eastAsia="宋体" w:cs="宋体"/>
          <w:b w:val="0"/>
          <w:bCs w:val="0"/>
          <w:color w:val="000000"/>
          <w:sz w:val="31"/>
          <w:szCs w:val="31"/>
        </w:rPr>
        <w:t>对渔港区域内港容港貌、环境卫生的管理工作。</w:t>
      </w:r>
    </w:p>
    <w:p w14:paraId="5D8E0347">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ascii="宋体" w:hAnsi="宋体" w:eastAsia="宋体" w:cs="宋体"/>
          <w:b w:val="0"/>
          <w:bCs w:val="0"/>
          <w:color w:val="000000"/>
          <w:sz w:val="31"/>
          <w:szCs w:val="31"/>
        </w:rPr>
      </w:pPr>
      <w:r>
        <w:rPr>
          <w:rFonts w:hint="eastAsia" w:ascii="宋体" w:hAnsi="宋体" w:eastAsia="宋体" w:cs="宋体"/>
          <w:b w:val="0"/>
          <w:bCs w:val="0"/>
          <w:color w:val="000000"/>
          <w:sz w:val="31"/>
          <w:szCs w:val="31"/>
        </w:rPr>
        <w:t xml:space="preserve"> 区供电部门负责落实好渔港区域内公用配电设施运行与维护，按规定对用户用电情况开展周期、专项用电检查。</w:t>
      </w:r>
    </w:p>
    <w:p w14:paraId="5D0F55D8">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ascii="宋体" w:hAnsi="宋体" w:eastAsia="宋体" w:cs="宋体"/>
          <w:b w:val="0"/>
          <w:bCs w:val="0"/>
          <w:color w:val="000000"/>
          <w:sz w:val="31"/>
          <w:szCs w:val="31"/>
        </w:rPr>
      </w:pPr>
      <w:r>
        <w:rPr>
          <w:rFonts w:hint="eastAsia" w:ascii="宋体" w:hAnsi="宋体" w:eastAsia="宋体" w:cs="宋体"/>
          <w:b w:val="0"/>
          <w:bCs w:val="0"/>
          <w:color w:val="000000"/>
          <w:sz w:val="31"/>
          <w:szCs w:val="31"/>
        </w:rPr>
        <w:t xml:space="preserve"> 交通、海事部门配合做好渔港区域内的非渔业船舶管理工作。</w:t>
      </w:r>
    </w:p>
    <w:p w14:paraId="6A62931C">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ascii="宋体" w:hAnsi="宋体" w:eastAsia="宋体" w:cs="宋体"/>
          <w:b w:val="0"/>
          <w:bCs w:val="0"/>
          <w:color w:val="000000"/>
          <w:sz w:val="31"/>
          <w:szCs w:val="31"/>
        </w:rPr>
      </w:pPr>
      <w:r>
        <w:rPr>
          <w:rFonts w:hint="eastAsia" w:ascii="宋体" w:hAnsi="宋体" w:eastAsia="宋体" w:cs="宋体"/>
          <w:b w:val="0"/>
          <w:bCs w:val="0"/>
          <w:color w:val="000000"/>
          <w:sz w:val="31"/>
          <w:szCs w:val="31"/>
        </w:rPr>
        <w:t xml:space="preserve"> 涉及渔港管理的其它成员单位及其职能部门</w:t>
      </w:r>
      <w:r>
        <w:rPr>
          <w:rFonts w:hint="eastAsia" w:ascii="宋体" w:hAnsi="宋体" w:eastAsia="宋体" w:cs="宋体"/>
          <w:b w:val="0"/>
          <w:bCs w:val="0"/>
          <w:color w:val="000000"/>
          <w:sz w:val="31"/>
          <w:szCs w:val="31"/>
          <w:lang w:eastAsia="zh-CN"/>
        </w:rPr>
        <w:t>（</w:t>
      </w:r>
      <w:r>
        <w:rPr>
          <w:rFonts w:hint="eastAsia" w:ascii="宋体" w:hAnsi="宋体" w:eastAsia="宋体" w:cs="宋体"/>
          <w:b w:val="0"/>
          <w:bCs w:val="0"/>
          <w:color w:val="000000"/>
          <w:sz w:val="31"/>
          <w:szCs w:val="31"/>
          <w:lang w:val="en-US" w:eastAsia="zh-CN"/>
        </w:rPr>
        <w:t>区自然资源、区生态环境、区旅游、区财政等部门）</w:t>
      </w:r>
      <w:r>
        <w:rPr>
          <w:rFonts w:hint="eastAsia" w:ascii="宋体" w:hAnsi="宋体" w:eastAsia="宋体" w:cs="宋体"/>
          <w:b w:val="0"/>
          <w:bCs w:val="0"/>
          <w:color w:val="000000"/>
          <w:sz w:val="31"/>
          <w:szCs w:val="31"/>
        </w:rPr>
        <w:t>根据各自职责负责相应管理工作。</w:t>
      </w:r>
    </w:p>
    <w:p w14:paraId="072BA9D5">
      <w:pPr>
        <w:keepNext w:val="0"/>
        <w:keepLines w:val="0"/>
        <w:pageBreakBefore w:val="0"/>
        <w:widowControl w:val="0"/>
        <w:kinsoku/>
        <w:wordWrap/>
        <w:overflowPunct/>
        <w:topLinePunct w:val="0"/>
        <w:autoSpaceDE/>
        <w:autoSpaceDN/>
        <w:bidi w:val="0"/>
        <w:adjustRightInd/>
        <w:snapToGrid/>
        <w:spacing w:before="313" w:beforeLines="100" w:after="313" w:afterLines="100" w:line="570" w:lineRule="exact"/>
        <w:jc w:val="center"/>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第二章</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渔港概况</w:t>
      </w:r>
    </w:p>
    <w:p w14:paraId="712F2BB0">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第四条  坡头区大王庙渔港位于湛江市坡头区南三镇人民政府灯塔村委会大王庙西侧，面临湛江湾，中心地理坐标为：E110.5292° N21.1032°。</w:t>
      </w:r>
    </w:p>
    <w:p w14:paraId="4E8524FF">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第五条  大王庙渔港范围包括水域范围和陆域范围。渔港总面积约28.30万平方米，其中水域面积约19.81万平方米（含航道、港池、停泊区、避风塘等），陆域面积约8.49平方米（含岸线、码头、装卸作业区、堆场、沿港道路及渔港配套用地等），渔港港界为以下坐标点连线范围：</w:t>
      </w:r>
    </w:p>
    <w:p w14:paraId="4AC3B6C0">
      <w:pPr>
        <w:keepNext w:val="0"/>
        <w:keepLines w:val="0"/>
        <w:pageBreakBefore w:val="0"/>
        <w:kinsoku/>
        <w:wordWrap/>
        <w:overflowPunct/>
        <w:topLinePunct w:val="0"/>
        <w:autoSpaceDE/>
        <w:autoSpaceDN/>
        <w:bidi w:val="0"/>
        <w:adjustRightInd/>
        <w:snapToGrid/>
        <w:spacing w:line="570" w:lineRule="exact"/>
        <w:ind w:firstLine="640" w:firstLineChars="200"/>
        <w:jc w:val="center"/>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大王庙渔港港界坐标表（详见附件1）</w:t>
      </w:r>
    </w:p>
    <w:tbl>
      <w:tblPr>
        <w:tblStyle w:val="5"/>
        <w:tblW w:w="901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906"/>
        <w:gridCol w:w="1900"/>
        <w:gridCol w:w="1634"/>
        <w:gridCol w:w="1116"/>
        <w:gridCol w:w="1734"/>
        <w:gridCol w:w="1720"/>
      </w:tblGrid>
      <w:tr w14:paraId="6FF19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95" w:hRule="atLeast"/>
          <w:jc w:val="center"/>
        </w:trPr>
        <w:tc>
          <w:tcPr>
            <w:tcW w:w="906" w:type="dxa"/>
            <w:tcBorders>
              <w:tl2br w:val="nil"/>
              <w:tr2bl w:val="nil"/>
            </w:tcBorders>
            <w:shd w:val="clear" w:color="auto" w:fill="auto"/>
            <w:noWrap/>
            <w:vAlign w:val="center"/>
          </w:tcPr>
          <w:p w14:paraId="5EE54117">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界址点</w:t>
            </w:r>
          </w:p>
        </w:tc>
        <w:tc>
          <w:tcPr>
            <w:tcW w:w="1900" w:type="dxa"/>
            <w:tcBorders>
              <w:tl2br w:val="nil"/>
              <w:tr2bl w:val="nil"/>
            </w:tcBorders>
            <w:shd w:val="clear" w:color="auto" w:fill="auto"/>
            <w:noWrap/>
            <w:vAlign w:val="center"/>
          </w:tcPr>
          <w:p w14:paraId="038E7A7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X</w:t>
            </w:r>
          </w:p>
        </w:tc>
        <w:tc>
          <w:tcPr>
            <w:tcW w:w="1634" w:type="dxa"/>
            <w:tcBorders>
              <w:tl2br w:val="nil"/>
              <w:tr2bl w:val="nil"/>
            </w:tcBorders>
            <w:shd w:val="clear" w:color="auto" w:fill="auto"/>
            <w:noWrap/>
            <w:vAlign w:val="center"/>
          </w:tcPr>
          <w:p w14:paraId="69D4B8B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Y</w:t>
            </w:r>
          </w:p>
        </w:tc>
        <w:tc>
          <w:tcPr>
            <w:tcW w:w="1116" w:type="dxa"/>
            <w:tcBorders>
              <w:tl2br w:val="nil"/>
              <w:tr2bl w:val="nil"/>
            </w:tcBorders>
            <w:shd w:val="clear" w:color="auto" w:fill="auto"/>
            <w:noWrap/>
            <w:vAlign w:val="center"/>
          </w:tcPr>
          <w:p w14:paraId="725FC9FE">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sz w:val="22"/>
                <w:szCs w:val="22"/>
                <w:highlight w:val="none"/>
                <w:u w:val="none"/>
                <w:lang w:val="en-US" w:eastAsia="zh-CN"/>
              </w:rPr>
              <w:t>界址点</w:t>
            </w:r>
          </w:p>
        </w:tc>
        <w:tc>
          <w:tcPr>
            <w:tcW w:w="1734" w:type="dxa"/>
            <w:tcBorders>
              <w:tl2br w:val="nil"/>
              <w:tr2bl w:val="nil"/>
            </w:tcBorders>
            <w:shd w:val="clear" w:color="auto" w:fill="auto"/>
            <w:noWrap/>
            <w:vAlign w:val="center"/>
          </w:tcPr>
          <w:p w14:paraId="68D5FB27">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sz w:val="22"/>
                <w:szCs w:val="22"/>
                <w:highlight w:val="none"/>
                <w:u w:val="none"/>
                <w:lang w:val="en-US" w:eastAsia="zh-CN"/>
              </w:rPr>
              <w:t>X</w:t>
            </w:r>
          </w:p>
        </w:tc>
        <w:tc>
          <w:tcPr>
            <w:tcW w:w="1720" w:type="dxa"/>
            <w:tcBorders>
              <w:tl2br w:val="nil"/>
              <w:tr2bl w:val="nil"/>
            </w:tcBorders>
            <w:shd w:val="clear" w:color="auto" w:fill="auto"/>
            <w:noWrap/>
            <w:vAlign w:val="center"/>
          </w:tcPr>
          <w:p w14:paraId="1A1B8ABB">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Y</w:t>
            </w:r>
          </w:p>
        </w:tc>
      </w:tr>
      <w:tr w14:paraId="395F3C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5" w:hRule="atLeast"/>
          <w:jc w:val="center"/>
        </w:trPr>
        <w:tc>
          <w:tcPr>
            <w:tcW w:w="906" w:type="dxa"/>
            <w:tcBorders>
              <w:tl2br w:val="nil"/>
              <w:tr2bl w:val="nil"/>
            </w:tcBorders>
            <w:shd w:val="clear" w:color="auto" w:fill="FFFFFF"/>
            <w:vAlign w:val="center"/>
          </w:tcPr>
          <w:p w14:paraId="265205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1</w:t>
            </w:r>
          </w:p>
        </w:tc>
        <w:tc>
          <w:tcPr>
            <w:tcW w:w="1900" w:type="dxa"/>
            <w:tcBorders>
              <w:tl2br w:val="nil"/>
              <w:tr2bl w:val="nil"/>
            </w:tcBorders>
            <w:shd w:val="clear" w:color="auto" w:fill="FFFFFF"/>
            <w:vAlign w:val="center"/>
          </w:tcPr>
          <w:p w14:paraId="769680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2334014.031</w:t>
            </w:r>
          </w:p>
        </w:tc>
        <w:tc>
          <w:tcPr>
            <w:tcW w:w="1634" w:type="dxa"/>
            <w:tcBorders>
              <w:tl2br w:val="nil"/>
              <w:tr2bl w:val="nil"/>
            </w:tcBorders>
            <w:shd w:val="clear" w:color="auto" w:fill="FFFFFF"/>
            <w:vAlign w:val="center"/>
          </w:tcPr>
          <w:p w14:paraId="5A87E2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450764.3316</w:t>
            </w:r>
          </w:p>
        </w:tc>
        <w:tc>
          <w:tcPr>
            <w:tcW w:w="1116" w:type="dxa"/>
            <w:tcBorders>
              <w:tl2br w:val="nil"/>
              <w:tr2bl w:val="nil"/>
            </w:tcBorders>
            <w:shd w:val="clear" w:color="auto" w:fill="FFFFFF"/>
            <w:vAlign w:val="center"/>
          </w:tcPr>
          <w:p w14:paraId="6E9C395E">
            <w:pPr>
              <w:keepNext w:val="0"/>
              <w:keepLines w:val="0"/>
              <w:widowControl/>
              <w:suppressLineNumbers w:val="0"/>
              <w:jc w:val="center"/>
              <w:textAlignment w:val="center"/>
              <w:rPr>
                <w:rFonts w:hint="default"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9</w:t>
            </w:r>
          </w:p>
        </w:tc>
        <w:tc>
          <w:tcPr>
            <w:tcW w:w="1734" w:type="dxa"/>
            <w:tcBorders>
              <w:tl2br w:val="nil"/>
              <w:tr2bl w:val="nil"/>
            </w:tcBorders>
            <w:shd w:val="clear" w:color="auto" w:fill="FFFFFF"/>
            <w:vAlign w:val="center"/>
          </w:tcPr>
          <w:p w14:paraId="2D266BC9">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2334459.248</w:t>
            </w:r>
          </w:p>
        </w:tc>
        <w:tc>
          <w:tcPr>
            <w:tcW w:w="1720" w:type="dxa"/>
            <w:tcBorders>
              <w:tl2br w:val="nil"/>
              <w:tr2bl w:val="nil"/>
            </w:tcBorders>
            <w:shd w:val="clear" w:color="auto" w:fill="FFFFFF"/>
            <w:vAlign w:val="center"/>
          </w:tcPr>
          <w:p w14:paraId="04E6EC3C">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451262.939</w:t>
            </w:r>
          </w:p>
        </w:tc>
      </w:tr>
      <w:tr w14:paraId="2A5955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5" w:hRule="atLeast"/>
          <w:jc w:val="center"/>
        </w:trPr>
        <w:tc>
          <w:tcPr>
            <w:tcW w:w="906" w:type="dxa"/>
            <w:tcBorders>
              <w:tl2br w:val="nil"/>
              <w:tr2bl w:val="nil"/>
            </w:tcBorders>
            <w:shd w:val="clear" w:color="auto" w:fill="FFFFFF"/>
            <w:vAlign w:val="center"/>
          </w:tcPr>
          <w:p w14:paraId="021916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2</w:t>
            </w:r>
          </w:p>
        </w:tc>
        <w:tc>
          <w:tcPr>
            <w:tcW w:w="1900" w:type="dxa"/>
            <w:tcBorders>
              <w:tl2br w:val="nil"/>
              <w:tr2bl w:val="nil"/>
            </w:tcBorders>
            <w:shd w:val="clear" w:color="auto" w:fill="FFFFFF"/>
            <w:vAlign w:val="center"/>
          </w:tcPr>
          <w:p w14:paraId="3EA073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2334189.669</w:t>
            </w:r>
          </w:p>
        </w:tc>
        <w:tc>
          <w:tcPr>
            <w:tcW w:w="1634" w:type="dxa"/>
            <w:tcBorders>
              <w:tl2br w:val="nil"/>
              <w:tr2bl w:val="nil"/>
            </w:tcBorders>
            <w:shd w:val="clear" w:color="auto" w:fill="FFFFFF"/>
            <w:vAlign w:val="center"/>
          </w:tcPr>
          <w:p w14:paraId="2BA2AC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451017.4818</w:t>
            </w:r>
          </w:p>
        </w:tc>
        <w:tc>
          <w:tcPr>
            <w:tcW w:w="1116" w:type="dxa"/>
            <w:tcBorders>
              <w:tl2br w:val="nil"/>
              <w:tr2bl w:val="nil"/>
            </w:tcBorders>
            <w:shd w:val="clear" w:color="auto" w:fill="FFFFFF"/>
            <w:vAlign w:val="center"/>
          </w:tcPr>
          <w:p w14:paraId="11F5F49A">
            <w:pPr>
              <w:keepNext w:val="0"/>
              <w:keepLines w:val="0"/>
              <w:widowControl/>
              <w:suppressLineNumbers w:val="0"/>
              <w:jc w:val="center"/>
              <w:textAlignment w:val="center"/>
              <w:rPr>
                <w:rFonts w:hint="default"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10</w:t>
            </w:r>
          </w:p>
        </w:tc>
        <w:tc>
          <w:tcPr>
            <w:tcW w:w="1734" w:type="dxa"/>
            <w:tcBorders>
              <w:tl2br w:val="nil"/>
              <w:tr2bl w:val="nil"/>
            </w:tcBorders>
            <w:shd w:val="clear" w:color="auto" w:fill="FFFFFF"/>
            <w:vAlign w:val="center"/>
          </w:tcPr>
          <w:p w14:paraId="517D66EB">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2334305.882</w:t>
            </w:r>
          </w:p>
        </w:tc>
        <w:tc>
          <w:tcPr>
            <w:tcW w:w="1720" w:type="dxa"/>
            <w:tcBorders>
              <w:tl2br w:val="nil"/>
              <w:tr2bl w:val="nil"/>
            </w:tcBorders>
            <w:shd w:val="clear" w:color="auto" w:fill="FFFFFF"/>
            <w:vAlign w:val="center"/>
          </w:tcPr>
          <w:p w14:paraId="53DEF94F">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451143.344</w:t>
            </w:r>
          </w:p>
        </w:tc>
      </w:tr>
      <w:tr w14:paraId="602E0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5" w:hRule="atLeast"/>
          <w:jc w:val="center"/>
        </w:trPr>
        <w:tc>
          <w:tcPr>
            <w:tcW w:w="906" w:type="dxa"/>
            <w:tcBorders>
              <w:tl2br w:val="nil"/>
              <w:tr2bl w:val="nil"/>
            </w:tcBorders>
            <w:shd w:val="clear" w:color="auto" w:fill="FFFFFF"/>
            <w:vAlign w:val="center"/>
          </w:tcPr>
          <w:p w14:paraId="123AE4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3</w:t>
            </w:r>
          </w:p>
        </w:tc>
        <w:tc>
          <w:tcPr>
            <w:tcW w:w="1900" w:type="dxa"/>
            <w:tcBorders>
              <w:tl2br w:val="nil"/>
              <w:tr2bl w:val="nil"/>
            </w:tcBorders>
            <w:shd w:val="clear" w:color="auto" w:fill="FFFFFF"/>
            <w:vAlign w:val="center"/>
          </w:tcPr>
          <w:p w14:paraId="2383D1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2334137.977</w:t>
            </w:r>
          </w:p>
        </w:tc>
        <w:tc>
          <w:tcPr>
            <w:tcW w:w="1634" w:type="dxa"/>
            <w:tcBorders>
              <w:tl2br w:val="nil"/>
              <w:tr2bl w:val="nil"/>
            </w:tcBorders>
            <w:shd w:val="clear" w:color="auto" w:fill="FFFFFF"/>
            <w:vAlign w:val="center"/>
          </w:tcPr>
          <w:p w14:paraId="71A3F1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451054.5804</w:t>
            </w:r>
          </w:p>
        </w:tc>
        <w:tc>
          <w:tcPr>
            <w:tcW w:w="1116" w:type="dxa"/>
            <w:tcBorders>
              <w:tl2br w:val="nil"/>
              <w:tr2bl w:val="nil"/>
            </w:tcBorders>
            <w:shd w:val="clear" w:color="auto" w:fill="FFFFFF"/>
            <w:vAlign w:val="center"/>
          </w:tcPr>
          <w:p w14:paraId="46E84A7A">
            <w:pPr>
              <w:keepNext w:val="0"/>
              <w:keepLines w:val="0"/>
              <w:widowControl/>
              <w:suppressLineNumbers w:val="0"/>
              <w:jc w:val="center"/>
              <w:textAlignment w:val="center"/>
              <w:rPr>
                <w:rFonts w:hint="default"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11</w:t>
            </w:r>
          </w:p>
        </w:tc>
        <w:tc>
          <w:tcPr>
            <w:tcW w:w="1734" w:type="dxa"/>
            <w:tcBorders>
              <w:tl2br w:val="nil"/>
              <w:tr2bl w:val="nil"/>
            </w:tcBorders>
            <w:shd w:val="clear" w:color="auto" w:fill="FFFFFF"/>
            <w:vAlign w:val="center"/>
          </w:tcPr>
          <w:p w14:paraId="315A8126">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2334362.812</w:t>
            </w:r>
          </w:p>
        </w:tc>
        <w:tc>
          <w:tcPr>
            <w:tcW w:w="1720" w:type="dxa"/>
            <w:tcBorders>
              <w:tl2br w:val="nil"/>
              <w:tr2bl w:val="nil"/>
            </w:tcBorders>
            <w:shd w:val="clear" w:color="auto" w:fill="FFFFFF"/>
            <w:vAlign w:val="center"/>
          </w:tcPr>
          <w:p w14:paraId="2B0D95EB">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451049.48</w:t>
            </w:r>
          </w:p>
        </w:tc>
      </w:tr>
      <w:tr w14:paraId="0F3D6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5" w:hRule="atLeast"/>
          <w:jc w:val="center"/>
        </w:trPr>
        <w:tc>
          <w:tcPr>
            <w:tcW w:w="906" w:type="dxa"/>
            <w:tcBorders>
              <w:tl2br w:val="nil"/>
              <w:tr2bl w:val="nil"/>
            </w:tcBorders>
            <w:shd w:val="clear" w:color="auto" w:fill="FFFFFF"/>
            <w:vAlign w:val="center"/>
          </w:tcPr>
          <w:p w14:paraId="06484C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4</w:t>
            </w:r>
          </w:p>
        </w:tc>
        <w:tc>
          <w:tcPr>
            <w:tcW w:w="1900" w:type="dxa"/>
            <w:tcBorders>
              <w:tl2br w:val="nil"/>
              <w:tr2bl w:val="nil"/>
            </w:tcBorders>
            <w:shd w:val="clear" w:color="auto" w:fill="FFFFFF"/>
            <w:vAlign w:val="center"/>
          </w:tcPr>
          <w:p w14:paraId="0642E5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2334244.935</w:t>
            </w:r>
          </w:p>
        </w:tc>
        <w:tc>
          <w:tcPr>
            <w:tcW w:w="1634" w:type="dxa"/>
            <w:tcBorders>
              <w:tl2br w:val="nil"/>
              <w:tr2bl w:val="nil"/>
            </w:tcBorders>
            <w:shd w:val="clear" w:color="auto" w:fill="FFFFFF"/>
            <w:vAlign w:val="center"/>
          </w:tcPr>
          <w:p w14:paraId="64A9D6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451207.5791</w:t>
            </w:r>
          </w:p>
        </w:tc>
        <w:tc>
          <w:tcPr>
            <w:tcW w:w="1116" w:type="dxa"/>
            <w:tcBorders>
              <w:tl2br w:val="nil"/>
              <w:tr2bl w:val="nil"/>
            </w:tcBorders>
            <w:shd w:val="clear" w:color="auto" w:fill="FFFFFF"/>
            <w:vAlign w:val="center"/>
          </w:tcPr>
          <w:p w14:paraId="7F7005AB">
            <w:pPr>
              <w:keepNext w:val="0"/>
              <w:keepLines w:val="0"/>
              <w:widowControl/>
              <w:suppressLineNumbers w:val="0"/>
              <w:jc w:val="center"/>
              <w:textAlignment w:val="center"/>
              <w:rPr>
                <w:rFonts w:hint="default"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12</w:t>
            </w:r>
          </w:p>
        </w:tc>
        <w:tc>
          <w:tcPr>
            <w:tcW w:w="1734" w:type="dxa"/>
            <w:tcBorders>
              <w:tl2br w:val="nil"/>
              <w:tr2bl w:val="nil"/>
            </w:tcBorders>
            <w:shd w:val="clear" w:color="auto" w:fill="FFFFFF"/>
            <w:vAlign w:val="center"/>
          </w:tcPr>
          <w:p w14:paraId="76519D39">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2334514.054</w:t>
            </w:r>
          </w:p>
        </w:tc>
        <w:tc>
          <w:tcPr>
            <w:tcW w:w="1720" w:type="dxa"/>
            <w:tcBorders>
              <w:tl2br w:val="nil"/>
              <w:tr2bl w:val="nil"/>
            </w:tcBorders>
            <w:shd w:val="clear" w:color="auto" w:fill="FFFFFF"/>
            <w:vAlign w:val="center"/>
          </w:tcPr>
          <w:p w14:paraId="2006E35A">
            <w:pPr>
              <w:keepNext w:val="0"/>
              <w:keepLines w:val="0"/>
              <w:widowControl/>
              <w:suppressLineNumbers w:val="0"/>
              <w:jc w:val="center"/>
              <w:textAlignment w:val="center"/>
              <w:rPr>
                <w:rFonts w:hint="default"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451135.6783</w:t>
            </w:r>
          </w:p>
        </w:tc>
      </w:tr>
      <w:tr w14:paraId="405168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5" w:hRule="atLeast"/>
          <w:jc w:val="center"/>
        </w:trPr>
        <w:tc>
          <w:tcPr>
            <w:tcW w:w="906" w:type="dxa"/>
            <w:tcBorders>
              <w:tl2br w:val="nil"/>
              <w:tr2bl w:val="nil"/>
            </w:tcBorders>
            <w:shd w:val="clear" w:color="auto" w:fill="FFFFFF"/>
            <w:vAlign w:val="center"/>
          </w:tcPr>
          <w:p w14:paraId="721047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5</w:t>
            </w:r>
          </w:p>
        </w:tc>
        <w:tc>
          <w:tcPr>
            <w:tcW w:w="1900" w:type="dxa"/>
            <w:tcBorders>
              <w:tl2br w:val="nil"/>
              <w:tr2bl w:val="nil"/>
            </w:tcBorders>
            <w:shd w:val="clear" w:color="auto" w:fill="FFFFFF"/>
            <w:vAlign w:val="center"/>
          </w:tcPr>
          <w:p w14:paraId="74B807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2334323.092</w:t>
            </w:r>
          </w:p>
        </w:tc>
        <w:tc>
          <w:tcPr>
            <w:tcW w:w="1634" w:type="dxa"/>
            <w:tcBorders>
              <w:tl2br w:val="nil"/>
              <w:tr2bl w:val="nil"/>
            </w:tcBorders>
            <w:shd w:val="clear" w:color="auto" w:fill="FFFFFF"/>
            <w:vAlign w:val="center"/>
          </w:tcPr>
          <w:p w14:paraId="1149DB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451199.7619</w:t>
            </w:r>
          </w:p>
        </w:tc>
        <w:tc>
          <w:tcPr>
            <w:tcW w:w="1116" w:type="dxa"/>
            <w:tcBorders>
              <w:tl2br w:val="nil"/>
              <w:tr2bl w:val="nil"/>
            </w:tcBorders>
            <w:shd w:val="clear" w:color="auto" w:fill="FFFFFF"/>
            <w:vAlign w:val="center"/>
          </w:tcPr>
          <w:p w14:paraId="6F3B2BB9">
            <w:pPr>
              <w:keepNext w:val="0"/>
              <w:keepLines w:val="0"/>
              <w:widowControl/>
              <w:suppressLineNumbers w:val="0"/>
              <w:jc w:val="center"/>
              <w:textAlignment w:val="center"/>
              <w:rPr>
                <w:rFonts w:hint="default"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13</w:t>
            </w:r>
          </w:p>
        </w:tc>
        <w:tc>
          <w:tcPr>
            <w:tcW w:w="1734" w:type="dxa"/>
            <w:tcBorders>
              <w:tl2br w:val="nil"/>
              <w:tr2bl w:val="nil"/>
            </w:tcBorders>
            <w:shd w:val="clear" w:color="auto" w:fill="FFFFFF"/>
            <w:vAlign w:val="center"/>
          </w:tcPr>
          <w:p w14:paraId="23D16A32">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2334550.998</w:t>
            </w:r>
          </w:p>
        </w:tc>
        <w:tc>
          <w:tcPr>
            <w:tcW w:w="1720" w:type="dxa"/>
            <w:tcBorders>
              <w:tl2br w:val="nil"/>
              <w:tr2bl w:val="nil"/>
            </w:tcBorders>
            <w:shd w:val="clear" w:color="auto" w:fill="FFFFFF"/>
            <w:vAlign w:val="center"/>
          </w:tcPr>
          <w:p w14:paraId="50A63A68">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451069.678</w:t>
            </w:r>
          </w:p>
        </w:tc>
      </w:tr>
      <w:tr w14:paraId="115EEC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5" w:hRule="atLeast"/>
          <w:jc w:val="center"/>
        </w:trPr>
        <w:tc>
          <w:tcPr>
            <w:tcW w:w="906" w:type="dxa"/>
            <w:tcBorders>
              <w:tl2br w:val="nil"/>
              <w:tr2bl w:val="nil"/>
            </w:tcBorders>
            <w:shd w:val="clear" w:color="auto" w:fill="FFFFFF"/>
            <w:vAlign w:val="center"/>
          </w:tcPr>
          <w:p w14:paraId="6B53A4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6</w:t>
            </w:r>
          </w:p>
        </w:tc>
        <w:tc>
          <w:tcPr>
            <w:tcW w:w="1900" w:type="dxa"/>
            <w:tcBorders>
              <w:tl2br w:val="nil"/>
              <w:tr2bl w:val="nil"/>
            </w:tcBorders>
            <w:shd w:val="clear" w:color="auto" w:fill="FFFFFF"/>
            <w:vAlign w:val="center"/>
          </w:tcPr>
          <w:p w14:paraId="5DD81B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2334386.024</w:t>
            </w:r>
          </w:p>
        </w:tc>
        <w:tc>
          <w:tcPr>
            <w:tcW w:w="1634" w:type="dxa"/>
            <w:tcBorders>
              <w:tl2br w:val="nil"/>
              <w:tr2bl w:val="nil"/>
            </w:tcBorders>
            <w:shd w:val="clear" w:color="auto" w:fill="FFFFFF"/>
            <w:vAlign w:val="center"/>
          </w:tcPr>
          <w:p w14:paraId="753B8D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451242.7656</w:t>
            </w:r>
          </w:p>
        </w:tc>
        <w:tc>
          <w:tcPr>
            <w:tcW w:w="1116" w:type="dxa"/>
            <w:tcBorders>
              <w:tl2br w:val="nil"/>
              <w:tr2bl w:val="nil"/>
            </w:tcBorders>
            <w:shd w:val="clear" w:color="auto" w:fill="FFFFFF"/>
            <w:vAlign w:val="center"/>
          </w:tcPr>
          <w:p w14:paraId="45E5B7BE">
            <w:pPr>
              <w:keepNext w:val="0"/>
              <w:keepLines w:val="0"/>
              <w:widowControl/>
              <w:suppressLineNumbers w:val="0"/>
              <w:jc w:val="center"/>
              <w:textAlignment w:val="center"/>
              <w:rPr>
                <w:rFonts w:hint="default"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14</w:t>
            </w:r>
          </w:p>
        </w:tc>
        <w:tc>
          <w:tcPr>
            <w:tcW w:w="1734" w:type="dxa"/>
            <w:tcBorders>
              <w:tl2br w:val="nil"/>
              <w:tr2bl w:val="nil"/>
            </w:tcBorders>
            <w:shd w:val="clear" w:color="auto" w:fill="FFFFFF"/>
            <w:vAlign w:val="center"/>
          </w:tcPr>
          <w:p w14:paraId="294FEA9A">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2334543.614</w:t>
            </w:r>
          </w:p>
        </w:tc>
        <w:tc>
          <w:tcPr>
            <w:tcW w:w="1720" w:type="dxa"/>
            <w:tcBorders>
              <w:tl2br w:val="nil"/>
              <w:tr2bl w:val="nil"/>
            </w:tcBorders>
            <w:shd w:val="clear" w:color="auto" w:fill="FFFFFF"/>
            <w:vAlign w:val="center"/>
          </w:tcPr>
          <w:p w14:paraId="086319DC">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450877.883</w:t>
            </w:r>
          </w:p>
        </w:tc>
      </w:tr>
      <w:tr w14:paraId="72F127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5" w:hRule="atLeast"/>
          <w:jc w:val="center"/>
        </w:trPr>
        <w:tc>
          <w:tcPr>
            <w:tcW w:w="906" w:type="dxa"/>
            <w:tcBorders>
              <w:tl2br w:val="nil"/>
              <w:tr2bl w:val="nil"/>
            </w:tcBorders>
            <w:shd w:val="clear" w:color="auto" w:fill="FFFFFF"/>
            <w:vAlign w:val="center"/>
          </w:tcPr>
          <w:p w14:paraId="02A3E0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7</w:t>
            </w:r>
          </w:p>
        </w:tc>
        <w:tc>
          <w:tcPr>
            <w:tcW w:w="1900" w:type="dxa"/>
            <w:tcBorders>
              <w:tl2br w:val="nil"/>
              <w:tr2bl w:val="nil"/>
            </w:tcBorders>
            <w:shd w:val="clear" w:color="auto" w:fill="FFFFFF"/>
            <w:vAlign w:val="center"/>
          </w:tcPr>
          <w:p w14:paraId="44B384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2334391.03</w:t>
            </w:r>
          </w:p>
        </w:tc>
        <w:tc>
          <w:tcPr>
            <w:tcW w:w="1634" w:type="dxa"/>
            <w:tcBorders>
              <w:tl2br w:val="nil"/>
              <w:tr2bl w:val="nil"/>
            </w:tcBorders>
            <w:shd w:val="clear" w:color="auto" w:fill="FFFFFF"/>
            <w:vAlign w:val="center"/>
          </w:tcPr>
          <w:p w14:paraId="53FAC9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等线" w:hAnsi="等线" w:eastAsia="等线" w:cs="等线"/>
                <w:i w:val="0"/>
                <w:iCs w:val="0"/>
                <w:color w:val="000000"/>
                <w:kern w:val="0"/>
                <w:sz w:val="22"/>
                <w:szCs w:val="22"/>
                <w:u w:val="none"/>
                <w:lang w:val="en-US" w:eastAsia="zh-CN" w:bidi="ar"/>
              </w:rPr>
              <w:t>451416.321</w:t>
            </w:r>
          </w:p>
        </w:tc>
        <w:tc>
          <w:tcPr>
            <w:tcW w:w="1116" w:type="dxa"/>
            <w:tcBorders>
              <w:tl2br w:val="nil"/>
              <w:tr2bl w:val="nil"/>
            </w:tcBorders>
            <w:shd w:val="clear" w:color="auto" w:fill="FFFFFF"/>
            <w:vAlign w:val="center"/>
          </w:tcPr>
          <w:p w14:paraId="42CCE1AA">
            <w:pPr>
              <w:keepNext w:val="0"/>
              <w:keepLines w:val="0"/>
              <w:widowControl/>
              <w:suppressLineNumbers w:val="0"/>
              <w:jc w:val="center"/>
              <w:textAlignment w:val="center"/>
              <w:rPr>
                <w:rFonts w:hint="default"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15</w:t>
            </w:r>
          </w:p>
        </w:tc>
        <w:tc>
          <w:tcPr>
            <w:tcW w:w="1734" w:type="dxa"/>
            <w:tcBorders>
              <w:tl2br w:val="nil"/>
              <w:tr2bl w:val="nil"/>
            </w:tcBorders>
            <w:shd w:val="clear" w:color="auto" w:fill="FFFFFF"/>
            <w:vAlign w:val="center"/>
          </w:tcPr>
          <w:p w14:paraId="4B6263B7">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2334260.272</w:t>
            </w:r>
          </w:p>
        </w:tc>
        <w:tc>
          <w:tcPr>
            <w:tcW w:w="1720" w:type="dxa"/>
            <w:tcBorders>
              <w:tl2br w:val="nil"/>
              <w:tr2bl w:val="nil"/>
            </w:tcBorders>
            <w:shd w:val="clear" w:color="auto" w:fill="FFFFFF"/>
            <w:vAlign w:val="center"/>
          </w:tcPr>
          <w:p w14:paraId="6B4509E1">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等线" w:hAnsi="等线" w:eastAsia="等线" w:cs="等线"/>
                <w:i w:val="0"/>
                <w:iCs w:val="0"/>
                <w:color w:val="000000"/>
                <w:kern w:val="0"/>
                <w:sz w:val="22"/>
                <w:szCs w:val="22"/>
                <w:u w:val="none"/>
                <w:lang w:val="en-US" w:eastAsia="zh-CN" w:bidi="ar"/>
              </w:rPr>
              <w:t>450347.822</w:t>
            </w:r>
          </w:p>
        </w:tc>
      </w:tr>
      <w:tr w14:paraId="7F96E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5" w:hRule="atLeast"/>
          <w:jc w:val="center"/>
        </w:trPr>
        <w:tc>
          <w:tcPr>
            <w:tcW w:w="906" w:type="dxa"/>
            <w:tcBorders>
              <w:tl2br w:val="nil"/>
              <w:tr2bl w:val="nil"/>
            </w:tcBorders>
            <w:shd w:val="clear" w:color="auto" w:fill="FFFFFF"/>
            <w:vAlign w:val="center"/>
          </w:tcPr>
          <w:p w14:paraId="510BFA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等线" w:hAnsi="等线" w:eastAsia="等线" w:cs="等线"/>
                <w:i w:val="0"/>
                <w:iCs w:val="0"/>
                <w:color w:val="000000"/>
                <w:kern w:val="0"/>
                <w:sz w:val="22"/>
                <w:szCs w:val="22"/>
                <w:u w:val="none"/>
                <w:lang w:val="en-US" w:eastAsia="zh-CN" w:bidi="ar"/>
              </w:rPr>
              <w:t>8</w:t>
            </w:r>
          </w:p>
        </w:tc>
        <w:tc>
          <w:tcPr>
            <w:tcW w:w="1900" w:type="dxa"/>
            <w:tcBorders>
              <w:tl2br w:val="nil"/>
              <w:tr2bl w:val="nil"/>
            </w:tcBorders>
            <w:shd w:val="clear" w:color="auto" w:fill="FFFFFF"/>
            <w:vAlign w:val="center"/>
          </w:tcPr>
          <w:p w14:paraId="1C10A13D">
            <w:pPr>
              <w:keepNext w:val="0"/>
              <w:keepLines w:val="0"/>
              <w:widowControl/>
              <w:suppressLineNumbers w:val="0"/>
              <w:jc w:val="center"/>
              <w:textAlignment w:val="center"/>
              <w:rPr>
                <w:rFonts w:hint="eastAsia" w:ascii="宋体" w:hAnsi="宋体" w:eastAsia="宋体" w:cs="宋体"/>
              </w:rPr>
            </w:pPr>
            <w:r>
              <w:rPr>
                <w:rFonts w:hint="eastAsia" w:ascii="等线" w:hAnsi="等线" w:eastAsia="等线" w:cs="等线"/>
                <w:i w:val="0"/>
                <w:iCs w:val="0"/>
                <w:color w:val="000000"/>
                <w:kern w:val="0"/>
                <w:sz w:val="22"/>
                <w:szCs w:val="22"/>
                <w:u w:val="none"/>
                <w:lang w:val="en-US" w:eastAsia="zh-CN" w:bidi="ar"/>
              </w:rPr>
              <w:t>2334432.364</w:t>
            </w:r>
          </w:p>
        </w:tc>
        <w:tc>
          <w:tcPr>
            <w:tcW w:w="1634" w:type="dxa"/>
            <w:tcBorders>
              <w:tl2br w:val="nil"/>
              <w:tr2bl w:val="nil"/>
            </w:tcBorders>
            <w:shd w:val="clear" w:color="auto" w:fill="FFFFFF"/>
            <w:vAlign w:val="center"/>
          </w:tcPr>
          <w:p w14:paraId="71B050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等线" w:hAnsi="等线" w:eastAsia="等线" w:cs="等线"/>
                <w:i w:val="0"/>
                <w:iCs w:val="0"/>
                <w:color w:val="000000"/>
                <w:kern w:val="0"/>
                <w:sz w:val="22"/>
                <w:szCs w:val="22"/>
                <w:u w:val="none"/>
                <w:lang w:val="en-US" w:eastAsia="zh-CN" w:bidi="ar"/>
              </w:rPr>
              <w:t>451474.6031</w:t>
            </w:r>
          </w:p>
        </w:tc>
        <w:tc>
          <w:tcPr>
            <w:tcW w:w="1116" w:type="dxa"/>
            <w:tcBorders>
              <w:tl2br w:val="nil"/>
              <w:tr2bl w:val="nil"/>
            </w:tcBorders>
            <w:shd w:val="clear" w:color="auto" w:fill="FFFFFF"/>
            <w:vAlign w:val="center"/>
          </w:tcPr>
          <w:p w14:paraId="21B4851D">
            <w:pPr>
              <w:keepNext w:val="0"/>
              <w:keepLines w:val="0"/>
              <w:widowControl/>
              <w:suppressLineNumbers w:val="0"/>
              <w:jc w:val="center"/>
              <w:textAlignment w:val="center"/>
              <w:rPr>
                <w:rFonts w:hint="default" w:ascii="宋体" w:hAnsi="宋体" w:eastAsia="宋体" w:cs="宋体"/>
                <w:i w:val="0"/>
                <w:iCs w:val="0"/>
                <w:color w:val="000000"/>
                <w:kern w:val="2"/>
                <w:sz w:val="24"/>
                <w:szCs w:val="24"/>
                <w:highlight w:val="none"/>
                <w:u w:val="none"/>
                <w:lang w:val="en-US" w:eastAsia="zh-CN" w:bidi="ar-SA"/>
              </w:rPr>
            </w:pPr>
          </w:p>
        </w:tc>
        <w:tc>
          <w:tcPr>
            <w:tcW w:w="1734" w:type="dxa"/>
            <w:tcBorders>
              <w:tl2br w:val="nil"/>
              <w:tr2bl w:val="nil"/>
            </w:tcBorders>
            <w:shd w:val="clear" w:color="auto" w:fill="FFFFFF"/>
            <w:vAlign w:val="center"/>
          </w:tcPr>
          <w:p w14:paraId="7EF0754D">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1720" w:type="dxa"/>
            <w:tcBorders>
              <w:tl2br w:val="nil"/>
              <w:tr2bl w:val="nil"/>
            </w:tcBorders>
            <w:shd w:val="clear" w:color="auto" w:fill="FFFFFF"/>
            <w:vAlign w:val="center"/>
          </w:tcPr>
          <w:p w14:paraId="6F9A74DE">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r>
    </w:tbl>
    <w:p w14:paraId="1C3125BF">
      <w:pPr>
        <w:keepNext w:val="0"/>
        <w:keepLines w:val="0"/>
        <w:pageBreakBefore w:val="0"/>
        <w:kinsoku/>
        <w:wordWrap/>
        <w:overflowPunct/>
        <w:topLinePunct w:val="0"/>
        <w:autoSpaceDE/>
        <w:autoSpaceDN/>
        <w:bidi w:val="0"/>
        <w:adjustRightInd/>
        <w:snapToGrid/>
        <w:spacing w:line="570" w:lineRule="exact"/>
        <w:ind w:firstLine="640"/>
        <w:jc w:val="left"/>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第六条  坡头区大王庙渔</w:t>
      </w:r>
      <w:r>
        <w:rPr>
          <w:rFonts w:hint="eastAsia" w:ascii="宋体" w:hAnsi="宋体" w:eastAsia="宋体" w:cs="宋体"/>
          <w:color w:val="000000"/>
          <w:spacing w:val="0"/>
          <w:w w:val="100"/>
          <w:position w:val="0"/>
          <w:sz w:val="32"/>
          <w:szCs w:val="32"/>
        </w:rPr>
        <w:t>港规划功能区划分，包括码头、航道、停泊区、岸线、航标、道路场地、护岸提、管理中心、消防等（详见附件 2）</w:t>
      </w:r>
    </w:p>
    <w:p w14:paraId="05291B38">
      <w:pPr>
        <w:keepNext w:val="0"/>
        <w:keepLines w:val="0"/>
        <w:pageBreakBefore w:val="0"/>
        <w:widowControl w:val="0"/>
        <w:kinsoku/>
        <w:wordWrap/>
        <w:overflowPunct/>
        <w:topLinePunct w:val="0"/>
        <w:autoSpaceDE/>
        <w:autoSpaceDN/>
        <w:bidi w:val="0"/>
        <w:adjustRightInd/>
        <w:snapToGrid/>
        <w:spacing w:before="313" w:beforeLines="100" w:after="313" w:afterLines="100" w:line="570" w:lineRule="exact"/>
        <w:jc w:val="center"/>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第三章 </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渔港经营</w:t>
      </w:r>
    </w:p>
    <w:p w14:paraId="5B24B14E">
      <w:pPr>
        <w:keepNext w:val="0"/>
        <w:keepLines w:val="0"/>
        <w:widowControl/>
        <w:suppressLineNumbers w:val="0"/>
        <w:ind w:firstLine="640" w:firstLineChars="200"/>
        <w:jc w:val="left"/>
        <w:rPr>
          <w:rFonts w:hint="eastAsia" w:ascii="宋体" w:hAnsi="宋体" w:eastAsia="宋体" w:cs="宋体"/>
          <w:u w:val="none"/>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七</w:t>
      </w:r>
      <w:r>
        <w:rPr>
          <w:rFonts w:hint="eastAsia" w:ascii="宋体" w:hAnsi="宋体" w:eastAsia="宋体" w:cs="宋体"/>
          <w:color w:val="auto"/>
          <w:sz w:val="32"/>
          <w:szCs w:val="32"/>
          <w:highlight w:val="none"/>
          <w:u w:val="none"/>
        </w:rPr>
        <w:t>条</w:t>
      </w:r>
      <w:r>
        <w:rPr>
          <w:rFonts w:hint="eastAsia" w:ascii="宋体" w:hAnsi="宋体" w:eastAsia="宋体" w:cs="宋体"/>
          <w:color w:val="auto"/>
          <w:sz w:val="32"/>
          <w:szCs w:val="32"/>
          <w:highlight w:val="none"/>
          <w:u w:val="none"/>
          <w:lang w:val="en-US" w:eastAsia="zh-CN"/>
        </w:rPr>
        <w:t xml:space="preserve">  </w:t>
      </w:r>
      <w:r>
        <w:rPr>
          <w:rFonts w:hint="eastAsia" w:ascii="宋体" w:hAnsi="宋体" w:eastAsia="宋体" w:cs="宋体"/>
          <w:color w:val="auto"/>
          <w:kern w:val="2"/>
          <w:sz w:val="32"/>
          <w:szCs w:val="32"/>
          <w:u w:val="none"/>
          <w:lang w:val="en-US" w:eastAsia="zh-CN" w:bidi="ar"/>
        </w:rPr>
        <w:t>从事渔港经营活动的单位和个人，必须依法办 理工商登记等相关证照，方可从事渔港经营活动。（如有非 财政资金建设的设施，可由投资方自主经营，报政府备案）</w:t>
      </w:r>
    </w:p>
    <w:p w14:paraId="39A2EE9A">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color w:val="auto"/>
          <w:sz w:val="32"/>
          <w:szCs w:val="32"/>
          <w:highlight w:val="none"/>
          <w:lang w:val="en-US" w:eastAsia="zh-CN"/>
        </w:rPr>
        <w:t xml:space="preserve">第八条  </w:t>
      </w:r>
      <w:r>
        <w:rPr>
          <w:rFonts w:hint="eastAsia" w:ascii="宋体" w:hAnsi="宋体" w:eastAsia="宋体" w:cs="宋体"/>
          <w:sz w:val="32"/>
          <w:szCs w:val="32"/>
          <w:lang w:val="en-US" w:eastAsia="zh-CN"/>
        </w:rPr>
        <w:t>本渔港经营主体须依法办理商事登记，遵守渔港管理的有关法律、法规，依法经营，并服从区农业农村局、</w:t>
      </w:r>
      <w:r>
        <w:rPr>
          <w:rFonts w:hint="eastAsia" w:ascii="宋体" w:hAnsi="宋体" w:eastAsia="宋体" w:cs="宋体"/>
          <w:b w:val="0"/>
          <w:bCs w:val="0"/>
          <w:color w:val="000000"/>
          <w:sz w:val="31"/>
          <w:szCs w:val="31"/>
        </w:rPr>
        <w:t>市海洋执法大队</w:t>
      </w:r>
      <w:r>
        <w:rPr>
          <w:rFonts w:hint="eastAsia" w:ascii="宋体" w:hAnsi="宋体" w:eastAsia="宋体" w:cs="宋体"/>
          <w:sz w:val="32"/>
          <w:szCs w:val="32"/>
          <w:lang w:val="en-US" w:eastAsia="zh-CN"/>
        </w:rPr>
        <w:t>及其他职能部门的管理，负责制定安全应急处置预案并组织实施。</w:t>
      </w:r>
    </w:p>
    <w:p w14:paraId="142D31A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color w:val="auto"/>
          <w:sz w:val="32"/>
          <w:szCs w:val="32"/>
          <w:highlight w:val="none"/>
          <w:lang w:val="en-US" w:eastAsia="zh-CN"/>
        </w:rPr>
        <w:t xml:space="preserve">第九条  </w:t>
      </w:r>
      <w:r>
        <w:rPr>
          <w:rFonts w:hint="eastAsia" w:ascii="宋体" w:hAnsi="宋体" w:eastAsia="宋体" w:cs="宋体"/>
          <w:sz w:val="32"/>
          <w:szCs w:val="32"/>
          <w:lang w:val="en-US" w:eastAsia="zh-CN"/>
        </w:rPr>
        <w:t>与渔港经营活动有关的单位和个人应加强安全生产管理，制定安全作业操作规程，保障渔港设施、码头、道路的正常运行，并对经营活动范围内的安全工作负责。</w:t>
      </w:r>
    </w:p>
    <w:p w14:paraId="47180ED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color w:val="auto"/>
          <w:sz w:val="32"/>
          <w:szCs w:val="32"/>
          <w:highlight w:val="none"/>
          <w:lang w:val="en-US" w:eastAsia="zh-CN"/>
        </w:rPr>
        <w:t>第十条  （经营人义务）</w:t>
      </w:r>
      <w:r>
        <w:rPr>
          <w:rFonts w:hint="eastAsia" w:ascii="宋体" w:hAnsi="宋体" w:eastAsia="宋体" w:cs="宋体"/>
          <w:sz w:val="32"/>
          <w:szCs w:val="32"/>
          <w:lang w:val="en-US" w:eastAsia="zh-CN"/>
        </w:rPr>
        <w:t>渔港经营者应当依法公布经营服务收费项目和标准，承担渔港的日常维护，提供公平、良好的服务。渔港经营性收费依法实行政府指导价或者政府定价的，渔港经营者应当按照规定执行。</w:t>
      </w:r>
    </w:p>
    <w:p w14:paraId="599C57D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船舶因防台风、风暴潮等紧急情形需要进入渔港避险的，渔港经营者应当为其提供便利，不得拒绝。</w:t>
      </w:r>
    </w:p>
    <w:p w14:paraId="271A6AB6">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sz w:val="32"/>
          <w:szCs w:val="32"/>
          <w:highlight w:val="none"/>
          <w:lang w:val="en-US" w:eastAsia="zh-CN"/>
        </w:rPr>
        <w:t xml:space="preserve">第十一条  </w:t>
      </w:r>
      <w:r>
        <w:rPr>
          <w:rFonts w:hint="eastAsia" w:ascii="宋体" w:hAnsi="宋体" w:eastAsia="宋体" w:cs="宋体"/>
          <w:sz w:val="32"/>
          <w:szCs w:val="32"/>
        </w:rPr>
        <w:t>在渔港区域范围内经营主体从事危险品作业的，必须遵守国家关于危险货物管理的规定，应当事先向市海洋综合执法大队提出申请，经批准后在指定的安全地点装卸。</w:t>
      </w:r>
    </w:p>
    <w:p w14:paraId="381860B7">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第十二条</w:t>
      </w:r>
      <w:r>
        <w:rPr>
          <w:rFonts w:hint="eastAsia" w:ascii="宋体" w:hAnsi="宋体" w:eastAsia="宋体" w:cs="宋体"/>
          <w:color w:val="auto"/>
          <w:kern w:val="2"/>
          <w:sz w:val="32"/>
          <w:szCs w:val="32"/>
          <w:highlight w:val="none"/>
          <w:lang w:val="en-US" w:eastAsia="zh-CN" w:bidi="ar-SA"/>
        </w:rPr>
        <w:t xml:space="preserve">  </w:t>
      </w:r>
      <w:r>
        <w:rPr>
          <w:rFonts w:hint="eastAsia" w:ascii="宋体" w:hAnsi="宋体" w:eastAsia="宋体" w:cs="宋体"/>
          <w:sz w:val="32"/>
          <w:szCs w:val="32"/>
        </w:rPr>
        <w:t>禁止在渔港港池、锚地、航道、避风塘从事捕捞作业和养殖生产。</w:t>
      </w:r>
    </w:p>
    <w:p w14:paraId="3BBFBCA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sz w:val="32"/>
          <w:szCs w:val="32"/>
          <w:highlight w:val="none"/>
          <w:lang w:val="en-US" w:eastAsia="zh-CN"/>
        </w:rPr>
        <w:t>第十三条</w:t>
      </w:r>
      <w:r>
        <w:rPr>
          <w:rFonts w:hint="eastAsia" w:ascii="宋体" w:hAnsi="宋体" w:eastAsia="宋体" w:cs="宋体"/>
          <w:color w:val="auto"/>
          <w:kern w:val="2"/>
          <w:sz w:val="32"/>
          <w:szCs w:val="32"/>
          <w:highlight w:val="none"/>
          <w:lang w:val="en-US" w:eastAsia="zh-CN" w:bidi="ar-SA"/>
        </w:rPr>
        <w:t xml:space="preserve">  经营主体使用渔港水域进行作业的，应当按照国家规定办理审批手续，在作业期间及时报告作业动态</w:t>
      </w:r>
      <w:r>
        <w:rPr>
          <w:rFonts w:hint="eastAsia" w:ascii="宋体" w:hAnsi="宋体" w:eastAsia="宋体" w:cs="宋体"/>
          <w:sz w:val="32"/>
          <w:szCs w:val="32"/>
        </w:rPr>
        <w:t>。</w:t>
      </w:r>
    </w:p>
    <w:p w14:paraId="21A69839">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第十</w:t>
      </w:r>
      <w:r>
        <w:rPr>
          <w:rFonts w:hint="eastAsia" w:ascii="宋体" w:hAnsi="宋体" w:eastAsia="宋体" w:cs="宋体"/>
          <w:color w:val="auto"/>
          <w:sz w:val="32"/>
          <w:szCs w:val="32"/>
          <w:highlight w:val="none"/>
          <w:lang w:val="en-US" w:eastAsia="zh-CN"/>
        </w:rPr>
        <w:t>四</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rPr>
        <w:t>经营主体应当按照核定功能使用渔港设施，配备相应的人员、设备，并保证渔港设施处于良好状态。</w:t>
      </w:r>
    </w:p>
    <w:p w14:paraId="70732162">
      <w:pPr>
        <w:keepNext w:val="0"/>
        <w:keepLines w:val="0"/>
        <w:pageBreakBefore w:val="0"/>
        <w:widowControl w:val="0"/>
        <w:kinsoku/>
        <w:wordWrap/>
        <w:overflowPunct/>
        <w:topLinePunct w:val="0"/>
        <w:autoSpaceDE/>
        <w:autoSpaceDN/>
        <w:bidi w:val="0"/>
        <w:adjustRightInd/>
        <w:snapToGrid/>
        <w:spacing w:before="313" w:beforeLines="100" w:after="313" w:afterLines="100" w:line="570" w:lineRule="exact"/>
        <w:jc w:val="center"/>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第四章</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渔港安全管理</w:t>
      </w:r>
    </w:p>
    <w:p w14:paraId="399F3D82">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lang w:eastAsia="zh-CN"/>
        </w:rPr>
      </w:pPr>
      <w:r>
        <w:rPr>
          <w:rFonts w:hint="eastAsia" w:ascii="宋体" w:hAnsi="宋体" w:eastAsia="宋体" w:cs="宋体"/>
          <w:color w:val="auto"/>
          <w:sz w:val="32"/>
          <w:szCs w:val="32"/>
          <w:highlight w:val="none"/>
        </w:rPr>
        <w:t>第十</w:t>
      </w:r>
      <w:r>
        <w:rPr>
          <w:rFonts w:hint="eastAsia" w:ascii="宋体" w:hAnsi="宋体" w:eastAsia="宋体" w:cs="宋体"/>
          <w:color w:val="auto"/>
          <w:sz w:val="32"/>
          <w:szCs w:val="32"/>
          <w:highlight w:val="none"/>
          <w:lang w:val="en-US" w:eastAsia="zh-CN"/>
        </w:rPr>
        <w:t>五</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lang w:val="en-US" w:eastAsia="zh-CN"/>
        </w:rPr>
        <w:t>渔港安全生产管理纳入区安全生产管理体系。区</w:t>
      </w:r>
      <w:r>
        <w:rPr>
          <w:rFonts w:hint="eastAsia" w:ascii="宋体" w:hAnsi="宋体" w:eastAsia="宋体" w:cs="宋体"/>
          <w:sz w:val="32"/>
          <w:szCs w:val="32"/>
        </w:rPr>
        <w:t>农业农村</w:t>
      </w:r>
      <w:r>
        <w:rPr>
          <w:rFonts w:hint="eastAsia" w:ascii="宋体" w:hAnsi="宋体" w:eastAsia="宋体" w:cs="宋体"/>
          <w:sz w:val="32"/>
          <w:szCs w:val="32"/>
          <w:lang w:val="en-US" w:eastAsia="zh-CN"/>
        </w:rPr>
        <w:t>局作为渔港管理部门，</w:t>
      </w:r>
      <w:r>
        <w:rPr>
          <w:rFonts w:hint="eastAsia" w:ascii="宋体" w:hAnsi="宋体" w:eastAsia="宋体" w:cs="宋体"/>
          <w:sz w:val="32"/>
          <w:szCs w:val="32"/>
        </w:rPr>
        <w:t>负责牵头协调渔港安全生产工作。</w:t>
      </w:r>
      <w:r>
        <w:rPr>
          <w:rFonts w:hint="eastAsia" w:ascii="宋体" w:hAnsi="宋体" w:eastAsia="宋体" w:cs="宋体"/>
          <w:sz w:val="32"/>
          <w:szCs w:val="32"/>
          <w:lang w:val="en-US" w:eastAsia="zh-CN"/>
        </w:rPr>
        <w:t>南三镇</w:t>
      </w:r>
      <w:r>
        <w:rPr>
          <w:rFonts w:hint="eastAsia" w:ascii="宋体" w:hAnsi="宋体" w:eastAsia="宋体" w:cs="宋体"/>
          <w:sz w:val="32"/>
          <w:szCs w:val="32"/>
          <w:lang w:eastAsia="zh-CN"/>
        </w:rPr>
        <w:t>人民政府加强本渔港安全生产管理，落实有关规章制度，加强渔业安全生产管理员队伍建设。</w:t>
      </w:r>
      <w:r>
        <w:rPr>
          <w:rFonts w:hint="eastAsia" w:ascii="宋体" w:hAnsi="宋体" w:eastAsia="宋体" w:cs="宋体"/>
          <w:sz w:val="32"/>
          <w:szCs w:val="32"/>
          <w:lang w:val="en-US" w:eastAsia="zh-CN"/>
        </w:rPr>
        <w:t>组织</w:t>
      </w:r>
      <w:r>
        <w:rPr>
          <w:rFonts w:hint="eastAsia" w:ascii="宋体" w:hAnsi="宋体" w:eastAsia="宋体" w:cs="宋体"/>
          <w:sz w:val="32"/>
          <w:szCs w:val="32"/>
          <w:lang w:eastAsia="zh-CN"/>
        </w:rPr>
        <w:t>相关村民委员会应协助做好本渔港安全生产管理工作。</w:t>
      </w:r>
    </w:p>
    <w:p w14:paraId="6C6F745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kern w:val="2"/>
          <w:sz w:val="32"/>
          <w:szCs w:val="32"/>
          <w:highlight w:val="none"/>
          <w:lang w:val="en-US" w:eastAsia="zh-CN" w:bidi="ar-SA"/>
        </w:rPr>
        <w:t xml:space="preserve">第十六条  </w:t>
      </w:r>
      <w:r>
        <w:rPr>
          <w:rFonts w:hint="eastAsia" w:ascii="宋体" w:hAnsi="宋体" w:eastAsia="宋体" w:cs="宋体"/>
          <w:sz w:val="32"/>
          <w:szCs w:val="32"/>
        </w:rPr>
        <w:t>渔港区域范围内装卸易燃、易爆、有毒等危险物品的，应当向</w:t>
      </w:r>
      <w:r>
        <w:rPr>
          <w:rFonts w:hint="eastAsia" w:ascii="宋体" w:hAnsi="宋体" w:eastAsia="宋体" w:cs="宋体"/>
          <w:sz w:val="32"/>
          <w:szCs w:val="32"/>
          <w:lang w:val="en-US" w:eastAsia="zh-CN"/>
        </w:rPr>
        <w:t>市海洋综合执法大队</w:t>
      </w:r>
      <w:r>
        <w:rPr>
          <w:rFonts w:hint="eastAsia" w:ascii="宋体" w:hAnsi="宋体" w:eastAsia="宋体" w:cs="宋体"/>
          <w:sz w:val="32"/>
          <w:szCs w:val="32"/>
        </w:rPr>
        <w:t>提出申请，经批准后在指定的安全地点装卸。</w:t>
      </w:r>
    </w:p>
    <w:p w14:paraId="69937D6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kern w:val="2"/>
          <w:sz w:val="32"/>
          <w:szCs w:val="32"/>
          <w:highlight w:val="none"/>
          <w:lang w:val="en-US" w:eastAsia="zh-CN" w:bidi="ar-SA"/>
        </w:rPr>
        <w:t xml:space="preserve">第十七条  </w:t>
      </w:r>
      <w:r>
        <w:rPr>
          <w:rFonts w:hint="eastAsia" w:ascii="宋体" w:hAnsi="宋体" w:eastAsia="宋体" w:cs="宋体"/>
          <w:sz w:val="32"/>
          <w:szCs w:val="32"/>
        </w:rPr>
        <w:t>在渔港区域范围内新建、改建、扩建各种设施或者进行其他水上、水下施工作业的，应当按照国家规定办理审批手续；影响通航的，</w:t>
      </w:r>
      <w:r>
        <w:rPr>
          <w:rFonts w:hint="eastAsia" w:ascii="宋体" w:hAnsi="宋体" w:eastAsia="宋体" w:cs="宋体"/>
          <w:sz w:val="32"/>
          <w:szCs w:val="32"/>
          <w:lang w:val="en-US" w:eastAsia="zh-CN"/>
        </w:rPr>
        <w:t>市海洋综合执法大队</w:t>
      </w:r>
      <w:r>
        <w:rPr>
          <w:rFonts w:hint="eastAsia" w:ascii="宋体" w:hAnsi="宋体" w:eastAsia="宋体" w:cs="宋体"/>
          <w:sz w:val="32"/>
          <w:szCs w:val="32"/>
        </w:rPr>
        <w:t>应当在施工前发布航行通告。</w:t>
      </w:r>
    </w:p>
    <w:p w14:paraId="35835BD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kern w:val="2"/>
          <w:sz w:val="32"/>
          <w:szCs w:val="32"/>
          <w:highlight w:val="none"/>
          <w:lang w:val="en-US" w:eastAsia="zh-CN" w:bidi="ar-SA"/>
        </w:rPr>
        <w:t>第十八条  南三</w:t>
      </w:r>
      <w:r>
        <w:rPr>
          <w:rFonts w:hint="eastAsia" w:ascii="宋体" w:hAnsi="宋体" w:eastAsia="宋体" w:cs="宋体"/>
          <w:sz w:val="32"/>
          <w:szCs w:val="32"/>
        </w:rPr>
        <w:t>镇</w:t>
      </w:r>
      <w:r>
        <w:rPr>
          <w:rFonts w:hint="eastAsia" w:ascii="宋体" w:hAnsi="宋体" w:eastAsia="宋体" w:cs="宋体"/>
          <w:sz w:val="32"/>
          <w:szCs w:val="32"/>
          <w:lang w:eastAsia="zh-CN"/>
        </w:rPr>
        <w:t>人民</w:t>
      </w:r>
      <w:r>
        <w:rPr>
          <w:rFonts w:hint="eastAsia" w:ascii="宋体" w:hAnsi="宋体" w:eastAsia="宋体" w:cs="宋体"/>
          <w:sz w:val="32"/>
          <w:szCs w:val="32"/>
        </w:rPr>
        <w:t>政府制定渔港防台风预案，细化遇强台风港内停泊的船上人员转移上岸预案。防台风期间，</w:t>
      </w:r>
      <w:r>
        <w:rPr>
          <w:rFonts w:hint="eastAsia" w:ascii="宋体" w:hAnsi="宋体" w:eastAsia="宋体" w:cs="宋体"/>
          <w:sz w:val="32"/>
          <w:szCs w:val="32"/>
          <w:lang w:val="en-US" w:eastAsia="zh-CN"/>
        </w:rPr>
        <w:t>市海洋综合执法大队、区</w:t>
      </w:r>
      <w:r>
        <w:rPr>
          <w:rFonts w:hint="eastAsia" w:ascii="宋体" w:hAnsi="宋体" w:eastAsia="宋体" w:cs="宋体"/>
          <w:sz w:val="32"/>
          <w:szCs w:val="32"/>
          <w:lang w:eastAsia="zh-CN"/>
        </w:rPr>
        <w:t>农业农村、</w:t>
      </w:r>
      <w:r>
        <w:rPr>
          <w:rFonts w:hint="eastAsia" w:ascii="宋体" w:hAnsi="宋体" w:eastAsia="宋体" w:cs="宋体"/>
          <w:sz w:val="32"/>
          <w:szCs w:val="32"/>
          <w:lang w:val="en-US" w:eastAsia="zh-CN"/>
        </w:rPr>
        <w:t>区</w:t>
      </w:r>
      <w:r>
        <w:rPr>
          <w:rFonts w:hint="eastAsia" w:ascii="宋体" w:hAnsi="宋体" w:eastAsia="宋体" w:cs="宋体"/>
          <w:sz w:val="32"/>
          <w:szCs w:val="32"/>
          <w:lang w:eastAsia="zh-CN"/>
        </w:rPr>
        <w:t>应急管理等相关单位</w:t>
      </w:r>
      <w:r>
        <w:rPr>
          <w:rFonts w:hint="eastAsia" w:ascii="宋体" w:hAnsi="宋体" w:eastAsia="宋体" w:cs="宋体"/>
          <w:sz w:val="32"/>
          <w:szCs w:val="32"/>
        </w:rPr>
        <w:t>应按防台风预案履行职责。</w:t>
      </w:r>
    </w:p>
    <w:p w14:paraId="70A2226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eastAsia="zh-CN"/>
        </w:rPr>
        <w:t>十</w:t>
      </w:r>
      <w:r>
        <w:rPr>
          <w:rFonts w:hint="eastAsia" w:ascii="宋体" w:hAnsi="宋体" w:eastAsia="宋体" w:cs="宋体"/>
          <w:color w:val="auto"/>
          <w:sz w:val="32"/>
          <w:szCs w:val="32"/>
          <w:highlight w:val="none"/>
          <w:lang w:val="en-US" w:eastAsia="zh-CN"/>
        </w:rPr>
        <w:t xml:space="preserve">九条  </w:t>
      </w:r>
      <w:r>
        <w:rPr>
          <w:rFonts w:hint="eastAsia" w:ascii="宋体" w:hAnsi="宋体" w:eastAsia="宋体" w:cs="宋体"/>
          <w:sz w:val="32"/>
          <w:szCs w:val="32"/>
        </w:rPr>
        <w:t>防台风期间，业主、经营者、施工单位等应服从管理机构和安全主管</w:t>
      </w:r>
      <w:r>
        <w:rPr>
          <w:rFonts w:hint="eastAsia" w:ascii="宋体" w:hAnsi="宋体" w:eastAsia="宋体" w:cs="宋体"/>
          <w:sz w:val="32"/>
          <w:szCs w:val="32"/>
          <w:lang w:val="en-US" w:eastAsia="zh-CN"/>
        </w:rPr>
        <w:t>部门</w:t>
      </w:r>
      <w:r>
        <w:rPr>
          <w:rFonts w:hint="eastAsia" w:ascii="宋体" w:hAnsi="宋体" w:eastAsia="宋体" w:cs="宋体"/>
          <w:sz w:val="32"/>
          <w:szCs w:val="32"/>
        </w:rPr>
        <w:t>的指挥调度；进港避风的船舶、非渔业船舶必须服从现场管理人员的指挥，在指定的泊位有序停泊；在发布防台风相应警报后，港区内停止装卸货、运输及交易活动。</w:t>
      </w:r>
    </w:p>
    <w:p w14:paraId="4C367E06">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kern w:val="2"/>
          <w:sz w:val="32"/>
          <w:szCs w:val="32"/>
          <w:highlight w:val="none"/>
          <w:lang w:val="en-US" w:eastAsia="zh-CN" w:bidi="ar-SA"/>
        </w:rPr>
        <w:t xml:space="preserve">第二十条  </w:t>
      </w:r>
      <w:r>
        <w:rPr>
          <w:rFonts w:hint="eastAsia" w:ascii="宋体" w:hAnsi="宋体" w:eastAsia="宋体" w:cs="宋体"/>
          <w:sz w:val="32"/>
          <w:szCs w:val="32"/>
        </w:rPr>
        <w:t>港内发生火灾、沉船、碰撞等应急情况时，渔港管理机构和安全主管</w:t>
      </w:r>
      <w:r>
        <w:rPr>
          <w:rFonts w:hint="eastAsia" w:ascii="宋体" w:hAnsi="宋体" w:eastAsia="宋体" w:cs="宋体"/>
          <w:sz w:val="32"/>
          <w:szCs w:val="32"/>
          <w:lang w:val="en-US" w:eastAsia="zh-CN"/>
        </w:rPr>
        <w:t>部门</w:t>
      </w:r>
      <w:r>
        <w:rPr>
          <w:rFonts w:hint="eastAsia" w:ascii="宋体" w:hAnsi="宋体" w:eastAsia="宋体" w:cs="宋体"/>
          <w:sz w:val="32"/>
          <w:szCs w:val="32"/>
        </w:rPr>
        <w:t>有权调度在港船舶协同救助。港内船舶应服从调度。</w:t>
      </w:r>
    </w:p>
    <w:p w14:paraId="70D167F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kern w:val="2"/>
          <w:sz w:val="32"/>
          <w:szCs w:val="32"/>
          <w:highlight w:val="none"/>
          <w:lang w:val="en-US" w:eastAsia="zh-CN" w:bidi="ar-SA"/>
        </w:rPr>
        <w:t xml:space="preserve">第二十一条  </w:t>
      </w:r>
      <w:r>
        <w:rPr>
          <w:rFonts w:hint="eastAsia" w:ascii="宋体" w:hAnsi="宋体" w:eastAsia="宋体" w:cs="宋体"/>
          <w:sz w:val="32"/>
          <w:szCs w:val="32"/>
        </w:rPr>
        <w:t>渔港的消防工作纳入属地消防责任制范围；</w:t>
      </w:r>
      <w:r>
        <w:rPr>
          <w:rFonts w:hint="eastAsia" w:ascii="宋体" w:hAnsi="宋体" w:eastAsia="宋体" w:cs="宋体"/>
          <w:sz w:val="32"/>
          <w:szCs w:val="32"/>
          <w:lang w:val="en-US" w:eastAsia="zh-CN"/>
        </w:rPr>
        <w:t>南三</w:t>
      </w:r>
      <w:r>
        <w:rPr>
          <w:rFonts w:hint="eastAsia" w:ascii="宋体" w:hAnsi="宋体" w:eastAsia="宋体" w:cs="宋体"/>
          <w:sz w:val="32"/>
          <w:szCs w:val="32"/>
        </w:rPr>
        <w:t>镇</w:t>
      </w:r>
      <w:r>
        <w:rPr>
          <w:rFonts w:hint="eastAsia" w:ascii="宋体" w:hAnsi="宋体" w:eastAsia="宋体" w:cs="宋体"/>
          <w:sz w:val="32"/>
          <w:szCs w:val="32"/>
          <w:lang w:eastAsia="zh-CN"/>
        </w:rPr>
        <w:t>人民</w:t>
      </w:r>
      <w:r>
        <w:rPr>
          <w:rFonts w:hint="eastAsia" w:ascii="宋体" w:hAnsi="宋体" w:eastAsia="宋体" w:cs="宋体"/>
          <w:sz w:val="32"/>
          <w:szCs w:val="32"/>
        </w:rPr>
        <w:t>政府应制定《渔港应急救援预案》并组织实施，组建消防管理网络；</w:t>
      </w:r>
      <w:r>
        <w:rPr>
          <w:rFonts w:hint="eastAsia" w:ascii="宋体" w:hAnsi="宋体" w:eastAsia="宋体" w:cs="宋体"/>
          <w:sz w:val="32"/>
          <w:szCs w:val="32"/>
          <w:lang w:val="en-US" w:eastAsia="zh-CN"/>
        </w:rPr>
        <w:t>区</w:t>
      </w:r>
      <w:r>
        <w:rPr>
          <w:rFonts w:hint="eastAsia" w:ascii="宋体" w:hAnsi="宋体" w:eastAsia="宋体" w:cs="宋体"/>
          <w:sz w:val="32"/>
          <w:szCs w:val="32"/>
          <w:lang w:eastAsia="zh-CN"/>
        </w:rPr>
        <w:t>消防救援大队</w:t>
      </w:r>
      <w:r>
        <w:rPr>
          <w:rFonts w:hint="eastAsia" w:ascii="宋体" w:hAnsi="宋体" w:eastAsia="宋体" w:cs="宋体"/>
          <w:sz w:val="32"/>
          <w:szCs w:val="32"/>
        </w:rPr>
        <w:t>应加强对渔港消防管理的监管工作。从事与渔港经营活动有关的单位应当制定安全生产突发事件应急预案</w:t>
      </w:r>
      <w:r>
        <w:rPr>
          <w:rFonts w:hint="eastAsia" w:ascii="宋体" w:hAnsi="宋体" w:eastAsia="宋体" w:cs="宋体"/>
          <w:sz w:val="32"/>
          <w:szCs w:val="32"/>
          <w:lang w:eastAsia="zh-CN"/>
        </w:rPr>
        <w:t>，</w:t>
      </w:r>
      <w:r>
        <w:rPr>
          <w:rFonts w:hint="eastAsia" w:ascii="宋体" w:hAnsi="宋体" w:eastAsia="宋体" w:cs="宋体"/>
          <w:color w:val="000000"/>
          <w:spacing w:val="0"/>
          <w:w w:val="100"/>
          <w:position w:val="0"/>
          <w:sz w:val="32"/>
          <w:szCs w:val="32"/>
        </w:rPr>
        <w:t>报</w:t>
      </w:r>
      <w:r>
        <w:rPr>
          <w:rFonts w:hint="eastAsia" w:ascii="宋体" w:hAnsi="宋体" w:eastAsia="宋体" w:cs="宋体"/>
          <w:color w:val="000000"/>
          <w:spacing w:val="0"/>
          <w:w w:val="100"/>
          <w:position w:val="0"/>
          <w:sz w:val="32"/>
          <w:szCs w:val="32"/>
          <w:lang w:val="en-US" w:eastAsia="zh-CN"/>
        </w:rPr>
        <w:t>南三</w:t>
      </w:r>
      <w:r>
        <w:rPr>
          <w:rFonts w:hint="eastAsia" w:ascii="宋体" w:hAnsi="宋体" w:eastAsia="宋体" w:cs="宋体"/>
          <w:color w:val="000000"/>
          <w:spacing w:val="0"/>
          <w:w w:val="100"/>
          <w:position w:val="0"/>
          <w:sz w:val="32"/>
          <w:szCs w:val="32"/>
        </w:rPr>
        <w:t>镇</w:t>
      </w:r>
      <w:r>
        <w:rPr>
          <w:rFonts w:hint="eastAsia" w:ascii="宋体" w:hAnsi="宋体" w:eastAsia="宋体" w:cs="宋体"/>
          <w:color w:val="000000"/>
          <w:spacing w:val="0"/>
          <w:w w:val="100"/>
          <w:position w:val="0"/>
          <w:sz w:val="32"/>
          <w:szCs w:val="32"/>
          <w:lang w:val="en-US" w:eastAsia="zh-CN"/>
        </w:rPr>
        <w:t>人民</w:t>
      </w:r>
      <w:r>
        <w:rPr>
          <w:rFonts w:hint="eastAsia" w:ascii="宋体" w:hAnsi="宋体" w:eastAsia="宋体" w:cs="宋体"/>
          <w:color w:val="000000"/>
          <w:spacing w:val="0"/>
          <w:w w:val="100"/>
          <w:position w:val="0"/>
          <w:sz w:val="32"/>
          <w:szCs w:val="32"/>
        </w:rPr>
        <w:t>政府和</w:t>
      </w:r>
      <w:r>
        <w:rPr>
          <w:rFonts w:hint="eastAsia" w:ascii="宋体" w:hAnsi="宋体" w:eastAsia="宋体" w:cs="宋体"/>
          <w:color w:val="000000"/>
          <w:spacing w:val="0"/>
          <w:w w:val="100"/>
          <w:position w:val="0"/>
          <w:sz w:val="32"/>
          <w:szCs w:val="32"/>
          <w:lang w:val="en-US" w:eastAsia="zh-CN"/>
        </w:rPr>
        <w:t>区</w:t>
      </w:r>
      <w:r>
        <w:rPr>
          <w:rFonts w:hint="eastAsia" w:ascii="宋体" w:hAnsi="宋体" w:eastAsia="宋体" w:cs="宋体"/>
          <w:color w:val="000000"/>
          <w:spacing w:val="0"/>
          <w:w w:val="100"/>
          <w:position w:val="0"/>
          <w:sz w:val="32"/>
          <w:szCs w:val="32"/>
        </w:rPr>
        <w:t>应急管理局备案。</w:t>
      </w:r>
    </w:p>
    <w:p w14:paraId="624A1F9A">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kern w:val="2"/>
          <w:sz w:val="32"/>
          <w:szCs w:val="32"/>
          <w:highlight w:val="none"/>
          <w:lang w:val="en-US" w:eastAsia="zh-CN" w:bidi="ar-SA"/>
        </w:rPr>
        <w:t xml:space="preserve">第二十二条  </w:t>
      </w:r>
      <w:r>
        <w:rPr>
          <w:rFonts w:hint="eastAsia" w:ascii="宋体" w:hAnsi="宋体" w:eastAsia="宋体" w:cs="宋体"/>
          <w:sz w:val="32"/>
          <w:szCs w:val="32"/>
        </w:rPr>
        <w:t>船舶在渔港停泊期间须</w:t>
      </w:r>
      <w:r>
        <w:rPr>
          <w:rFonts w:hint="eastAsia" w:ascii="宋体" w:hAnsi="宋体" w:eastAsia="宋体" w:cs="宋体"/>
          <w:sz w:val="32"/>
          <w:szCs w:val="32"/>
          <w:lang w:val="en-US" w:eastAsia="zh-CN"/>
        </w:rPr>
        <w:t>安排人员值班</w:t>
      </w:r>
      <w:r>
        <w:rPr>
          <w:rFonts w:hint="eastAsia" w:ascii="宋体" w:hAnsi="宋体" w:eastAsia="宋体" w:cs="宋体"/>
          <w:sz w:val="32"/>
          <w:szCs w:val="32"/>
        </w:rPr>
        <w:t>，发生突发事件时，事故现场有关人员应当及时发出呼救信号，并采取积极有效的自救、互救措施。接到报告的</w:t>
      </w:r>
      <w:r>
        <w:rPr>
          <w:rFonts w:hint="eastAsia" w:ascii="宋体" w:hAnsi="宋体" w:eastAsia="宋体" w:cs="宋体"/>
          <w:color w:val="000000"/>
          <w:spacing w:val="0"/>
          <w:w w:val="100"/>
          <w:position w:val="0"/>
          <w:sz w:val="32"/>
          <w:szCs w:val="32"/>
        </w:rPr>
        <w:t>水上搜救中心</w:t>
      </w:r>
      <w:r>
        <w:rPr>
          <w:rFonts w:hint="eastAsia" w:ascii="宋体" w:hAnsi="宋体" w:eastAsia="宋体" w:cs="宋体"/>
          <w:sz w:val="32"/>
          <w:szCs w:val="32"/>
          <w:lang w:val="en-US" w:eastAsia="zh-CN"/>
        </w:rPr>
        <w:t>、市海洋综合执法大队</w:t>
      </w:r>
      <w:r>
        <w:rPr>
          <w:rFonts w:hint="eastAsia" w:ascii="宋体" w:hAnsi="宋体" w:eastAsia="宋体" w:cs="宋体"/>
          <w:sz w:val="32"/>
          <w:szCs w:val="32"/>
          <w:lang w:eastAsia="zh-CN"/>
        </w:rPr>
        <w:t>等有关单位</w:t>
      </w:r>
      <w:r>
        <w:rPr>
          <w:rFonts w:hint="eastAsia" w:ascii="宋体" w:hAnsi="宋体" w:eastAsia="宋体" w:cs="宋体"/>
          <w:sz w:val="32"/>
          <w:szCs w:val="32"/>
        </w:rPr>
        <w:t>应及时组织、协调指挥救助行动。接到相关指令的相关部门、单位和船舶应当服从统一指挥，积极配合救助行动。</w:t>
      </w:r>
    </w:p>
    <w:p w14:paraId="40EBAEE0">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kern w:val="2"/>
          <w:sz w:val="32"/>
          <w:szCs w:val="32"/>
          <w:highlight w:val="none"/>
          <w:lang w:val="en-US" w:eastAsia="zh-CN" w:bidi="ar-SA"/>
        </w:rPr>
        <w:t xml:space="preserve">第二十三条 </w:t>
      </w:r>
      <w:r>
        <w:rPr>
          <w:rFonts w:hint="eastAsia" w:ascii="宋体" w:hAnsi="宋体" w:eastAsia="宋体" w:cs="宋体"/>
          <w:sz w:val="32"/>
          <w:szCs w:val="32"/>
        </w:rPr>
        <w:t>渔船在港停泊期间禁止燃放烟花爆竹。任何单位和个人未经</w:t>
      </w:r>
      <w:r>
        <w:rPr>
          <w:rFonts w:hint="eastAsia" w:ascii="宋体" w:hAnsi="宋体" w:eastAsia="宋体" w:cs="宋体"/>
          <w:sz w:val="32"/>
          <w:szCs w:val="32"/>
          <w:lang w:val="en-US" w:eastAsia="zh-CN"/>
        </w:rPr>
        <w:t>市海洋综合执法大队</w:t>
      </w:r>
      <w:r>
        <w:rPr>
          <w:rFonts w:hint="eastAsia" w:ascii="宋体" w:hAnsi="宋体" w:eastAsia="宋体" w:cs="宋体"/>
          <w:sz w:val="32"/>
          <w:szCs w:val="32"/>
        </w:rPr>
        <w:t>批准不得在渔港范围内进行明火作业，在渔港内燃放烟花爆竹。严禁在渔船停泊区域进行电、气、焊等危害渔港及船舶安全的相关作业。</w:t>
      </w:r>
    </w:p>
    <w:p w14:paraId="6FE4267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kern w:val="2"/>
          <w:sz w:val="32"/>
          <w:szCs w:val="32"/>
          <w:highlight w:val="none"/>
          <w:lang w:val="en-US" w:eastAsia="zh-CN" w:bidi="ar-SA"/>
        </w:rPr>
        <w:t xml:space="preserve">第二十四条  </w:t>
      </w:r>
      <w:r>
        <w:rPr>
          <w:rFonts w:hint="eastAsia" w:ascii="宋体" w:hAnsi="宋体" w:eastAsia="宋体" w:cs="宋体"/>
          <w:sz w:val="32"/>
          <w:szCs w:val="32"/>
          <w:lang w:eastAsia="zh-CN"/>
        </w:rPr>
        <w:t>渔</w:t>
      </w:r>
      <w:r>
        <w:rPr>
          <w:rFonts w:hint="eastAsia" w:ascii="宋体" w:hAnsi="宋体" w:eastAsia="宋体" w:cs="宋体"/>
          <w:sz w:val="32"/>
          <w:szCs w:val="32"/>
        </w:rPr>
        <w:t>港</w:t>
      </w:r>
      <w:r>
        <w:rPr>
          <w:rFonts w:hint="eastAsia" w:ascii="宋体" w:hAnsi="宋体" w:eastAsia="宋体" w:cs="宋体"/>
          <w:sz w:val="32"/>
          <w:szCs w:val="32"/>
          <w:lang w:eastAsia="zh-CN"/>
        </w:rPr>
        <w:t>范围</w:t>
      </w:r>
      <w:r>
        <w:rPr>
          <w:rFonts w:hint="eastAsia" w:ascii="宋体" w:hAnsi="宋体" w:eastAsia="宋体" w:cs="宋体"/>
          <w:sz w:val="32"/>
          <w:szCs w:val="32"/>
        </w:rPr>
        <w:t>内石油供应站、点、车辆、船舶等供油设施，必须具备相应的资质，符合安全管理要求</w:t>
      </w:r>
      <w:r>
        <w:rPr>
          <w:rFonts w:hint="eastAsia" w:ascii="宋体" w:hAnsi="宋体" w:eastAsia="宋体" w:cs="宋体"/>
          <w:sz w:val="32"/>
          <w:szCs w:val="32"/>
          <w:lang w:eastAsia="zh-CN"/>
        </w:rPr>
        <w:t>，接受相关安全生产主管部门的安全监管</w:t>
      </w:r>
      <w:r>
        <w:rPr>
          <w:rFonts w:hint="eastAsia" w:ascii="宋体" w:hAnsi="宋体" w:eastAsia="宋体" w:cs="宋体"/>
          <w:sz w:val="32"/>
          <w:szCs w:val="32"/>
        </w:rPr>
        <w:t>。严禁在渔港区域从事非法加油活动。</w:t>
      </w:r>
    </w:p>
    <w:p w14:paraId="52BDE225">
      <w:pPr>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right="0" w:firstLine="640" w:firstLineChars="200"/>
        <w:textAlignment w:val="auto"/>
        <w:rPr>
          <w:rFonts w:hint="eastAsia" w:ascii="宋体" w:hAnsi="宋体" w:eastAsia="宋体" w:cs="宋体"/>
          <w:color w:val="auto"/>
          <w:kern w:val="2"/>
          <w:sz w:val="32"/>
          <w:szCs w:val="32"/>
          <w:highlight w:val="none"/>
          <w:lang w:val="en-US" w:eastAsia="zh-CN" w:bidi="ar-SA"/>
        </w:rPr>
      </w:pPr>
      <w:r>
        <w:rPr>
          <w:rFonts w:hint="eastAsia" w:ascii="宋体" w:hAnsi="宋体" w:eastAsia="宋体" w:cs="宋体"/>
          <w:sz w:val="32"/>
          <w:szCs w:val="32"/>
        </w:rPr>
        <w:t>禁止危险化学品运输船舶进入渔港水域。</w:t>
      </w:r>
    </w:p>
    <w:p w14:paraId="3E8CC2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right="0" w:firstLine="640" w:firstLineChars="200"/>
        <w:textAlignment w:val="auto"/>
        <w:rPr>
          <w:rFonts w:hint="eastAsia" w:ascii="宋体" w:hAnsi="宋体" w:eastAsia="宋体" w:cs="宋体"/>
          <w:color w:val="auto"/>
          <w:kern w:val="2"/>
          <w:sz w:val="32"/>
          <w:szCs w:val="32"/>
          <w:highlight w:val="none"/>
          <w:lang w:val="en-US" w:eastAsia="zh-CN" w:bidi="ar-SA"/>
        </w:rPr>
      </w:pPr>
      <w:r>
        <w:rPr>
          <w:rFonts w:hint="eastAsia" w:ascii="宋体" w:hAnsi="宋体" w:eastAsia="宋体" w:cs="宋体"/>
          <w:color w:val="auto"/>
          <w:kern w:val="2"/>
          <w:sz w:val="32"/>
          <w:szCs w:val="32"/>
          <w:highlight w:val="none"/>
          <w:lang w:val="en-US" w:eastAsia="zh-CN" w:bidi="ar-SA"/>
        </w:rPr>
        <w:t xml:space="preserve">第二十五条  </w:t>
      </w:r>
      <w:r>
        <w:rPr>
          <w:rFonts w:hint="eastAsia" w:ascii="宋体" w:hAnsi="宋体" w:eastAsia="宋体" w:cs="宋体"/>
          <w:sz w:val="32"/>
          <w:szCs w:val="32"/>
        </w:rPr>
        <w:t>对影响安全航行、航道整治以及有潜在危险的沉没物、漂浮物，其所有人、经营人应当在主管</w:t>
      </w:r>
      <w:r>
        <w:rPr>
          <w:rFonts w:hint="eastAsia" w:ascii="宋体" w:hAnsi="宋体" w:eastAsia="宋体" w:cs="宋体"/>
          <w:sz w:val="32"/>
          <w:szCs w:val="32"/>
          <w:lang w:val="en-US" w:eastAsia="zh-CN"/>
        </w:rPr>
        <w:t>部门</w:t>
      </w:r>
      <w:r>
        <w:rPr>
          <w:rFonts w:hint="eastAsia" w:ascii="宋体" w:hAnsi="宋体" w:eastAsia="宋体" w:cs="宋体"/>
          <w:sz w:val="32"/>
          <w:szCs w:val="32"/>
        </w:rPr>
        <w:t>限定的时间内打捞清除。</w:t>
      </w:r>
    </w:p>
    <w:p w14:paraId="3F27637B">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kern w:val="2"/>
          <w:sz w:val="32"/>
          <w:szCs w:val="32"/>
          <w:highlight w:val="none"/>
          <w:lang w:val="en-US" w:eastAsia="zh-CN" w:bidi="ar-SA"/>
        </w:rPr>
        <w:t xml:space="preserve">第二十六条  </w:t>
      </w:r>
      <w:r>
        <w:rPr>
          <w:rFonts w:hint="eastAsia" w:ascii="宋体" w:hAnsi="宋体" w:eastAsia="宋体" w:cs="宋体"/>
          <w:sz w:val="32"/>
          <w:szCs w:val="32"/>
        </w:rPr>
        <w:t>爱护渔港助航、消防等各种公共设施，任何单位和个人不得侵占、损坏消防、助航、导航标志等渔港</w:t>
      </w:r>
      <w:r>
        <w:rPr>
          <w:rFonts w:hint="eastAsia" w:ascii="宋体" w:hAnsi="宋体" w:eastAsia="宋体" w:cs="宋体"/>
          <w:sz w:val="32"/>
          <w:szCs w:val="32"/>
          <w:lang w:eastAsia="zh-CN"/>
        </w:rPr>
        <w:t>安全</w:t>
      </w:r>
      <w:r>
        <w:rPr>
          <w:rFonts w:hint="eastAsia" w:ascii="宋体" w:hAnsi="宋体" w:eastAsia="宋体" w:cs="宋体"/>
          <w:sz w:val="32"/>
          <w:szCs w:val="32"/>
        </w:rPr>
        <w:t>设施。发现航标漂失、移位、受损或</w:t>
      </w:r>
      <w:r>
        <w:rPr>
          <w:rFonts w:hint="eastAsia" w:ascii="宋体" w:hAnsi="宋体" w:eastAsia="宋体" w:cs="宋体"/>
          <w:sz w:val="32"/>
          <w:szCs w:val="32"/>
          <w:lang w:eastAsia="zh-CN"/>
        </w:rPr>
        <w:t>被</w:t>
      </w:r>
      <w:r>
        <w:rPr>
          <w:rFonts w:hint="eastAsia" w:ascii="宋体" w:hAnsi="宋体" w:eastAsia="宋体" w:cs="宋体"/>
          <w:sz w:val="32"/>
          <w:szCs w:val="32"/>
        </w:rPr>
        <w:t>侵占</w:t>
      </w:r>
      <w:r>
        <w:rPr>
          <w:rFonts w:hint="eastAsia" w:ascii="宋体" w:hAnsi="宋体" w:eastAsia="宋体" w:cs="宋体"/>
          <w:sz w:val="32"/>
          <w:szCs w:val="32"/>
          <w:lang w:eastAsia="zh-CN"/>
        </w:rPr>
        <w:t>，</w:t>
      </w:r>
      <w:r>
        <w:rPr>
          <w:rFonts w:hint="eastAsia" w:ascii="宋体" w:hAnsi="宋体" w:eastAsia="宋体" w:cs="宋体"/>
          <w:sz w:val="32"/>
          <w:szCs w:val="32"/>
        </w:rPr>
        <w:t>渔港设施被侵占、损坏的，应立即向</w:t>
      </w:r>
      <w:r>
        <w:rPr>
          <w:rFonts w:hint="eastAsia" w:ascii="宋体" w:hAnsi="宋体" w:eastAsia="宋体" w:cs="宋体"/>
          <w:sz w:val="32"/>
          <w:szCs w:val="32"/>
          <w:lang w:val="en-US" w:eastAsia="zh-CN"/>
        </w:rPr>
        <w:t>市海洋综合执法大队</w:t>
      </w:r>
      <w:r>
        <w:rPr>
          <w:rFonts w:hint="eastAsia" w:ascii="宋体" w:hAnsi="宋体" w:eastAsia="宋体" w:cs="宋体"/>
          <w:sz w:val="32"/>
          <w:szCs w:val="32"/>
        </w:rPr>
        <w:t>报告，损坏者应恢复原状或照价赔偿。</w:t>
      </w:r>
    </w:p>
    <w:p w14:paraId="61C6EE0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right="0" w:firstLine="640" w:firstLineChars="200"/>
        <w:textAlignment w:val="auto"/>
        <w:rPr>
          <w:rFonts w:hint="eastAsia" w:ascii="宋体" w:hAnsi="宋体" w:eastAsia="宋体" w:cs="宋体"/>
          <w:color w:val="auto"/>
          <w:kern w:val="2"/>
          <w:sz w:val="32"/>
          <w:szCs w:val="32"/>
          <w:highlight w:val="none"/>
          <w:lang w:val="en-US" w:eastAsia="zh-CN" w:bidi="ar-SA"/>
        </w:rPr>
      </w:pPr>
      <w:r>
        <w:rPr>
          <w:rFonts w:hint="eastAsia" w:ascii="宋体" w:hAnsi="宋体" w:eastAsia="宋体" w:cs="宋体"/>
          <w:sz w:val="32"/>
          <w:szCs w:val="32"/>
        </w:rPr>
        <w:t>不得在渔港区域内擅自设置有碍安全的标志，不得建造影响安全的设施。造成渔港设施损坏的，依法承担赔偿责任。</w:t>
      </w:r>
    </w:p>
    <w:p w14:paraId="149270A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kern w:val="2"/>
          <w:sz w:val="32"/>
          <w:szCs w:val="32"/>
          <w:highlight w:val="none"/>
          <w:lang w:val="en-US" w:eastAsia="zh-CN" w:bidi="ar-SA"/>
        </w:rPr>
        <w:t xml:space="preserve">第二十七条  </w:t>
      </w:r>
      <w:r>
        <w:rPr>
          <w:rFonts w:hint="eastAsia" w:ascii="宋体" w:hAnsi="宋体" w:eastAsia="宋体" w:cs="宋体"/>
          <w:sz w:val="32"/>
          <w:szCs w:val="32"/>
        </w:rPr>
        <w:t>自觉遵守国家法律法规及相关规定，维护渔港秩序。不得从事水上娱乐等妨碍渔港安全的相关活动，严禁从事偷渡、走私、贩毒等违法犯罪活动。</w:t>
      </w:r>
    </w:p>
    <w:p w14:paraId="03AE8A68">
      <w:pPr>
        <w:pStyle w:val="7"/>
        <w:keepNext w:val="0"/>
        <w:keepLines w:val="0"/>
        <w:widowControl w:val="0"/>
        <w:shd w:val="clear" w:color="auto" w:fill="auto"/>
        <w:bidi w:val="0"/>
        <w:spacing w:before="0" w:after="580" w:line="590" w:lineRule="exact"/>
        <w:ind w:left="0" w:right="0" w:firstLine="640"/>
        <w:jc w:val="both"/>
        <w:rPr>
          <w:rFonts w:hint="eastAsia" w:ascii="宋体" w:hAnsi="宋体" w:eastAsia="宋体" w:cs="宋体"/>
          <w:sz w:val="32"/>
          <w:szCs w:val="32"/>
        </w:rPr>
      </w:pPr>
      <w:r>
        <w:rPr>
          <w:rFonts w:hint="eastAsia" w:ascii="宋体" w:hAnsi="宋体" w:eastAsia="宋体" w:cs="宋体"/>
          <w:b w:val="0"/>
          <w:bCs w:val="0"/>
          <w:color w:val="000000"/>
          <w:spacing w:val="0"/>
          <w:w w:val="100"/>
          <w:position w:val="0"/>
          <w:sz w:val="32"/>
          <w:szCs w:val="32"/>
        </w:rPr>
        <w:t>第二十</w:t>
      </w:r>
      <w:r>
        <w:rPr>
          <w:rFonts w:hint="eastAsia" w:ascii="宋体" w:hAnsi="宋体" w:eastAsia="宋体" w:cs="宋体"/>
          <w:b w:val="0"/>
          <w:bCs w:val="0"/>
          <w:color w:val="000000"/>
          <w:spacing w:val="0"/>
          <w:w w:val="100"/>
          <w:position w:val="0"/>
          <w:sz w:val="32"/>
          <w:szCs w:val="32"/>
          <w:lang w:val="en-US" w:eastAsia="zh-CN"/>
        </w:rPr>
        <w:t>八</w:t>
      </w:r>
      <w:r>
        <w:rPr>
          <w:rFonts w:hint="eastAsia" w:ascii="宋体" w:hAnsi="宋体" w:eastAsia="宋体" w:cs="宋体"/>
          <w:b w:val="0"/>
          <w:bCs w:val="0"/>
          <w:color w:val="000000"/>
          <w:spacing w:val="0"/>
          <w:w w:val="100"/>
          <w:position w:val="0"/>
          <w:sz w:val="32"/>
          <w:szCs w:val="32"/>
        </w:rPr>
        <w:t>条</w:t>
      </w:r>
      <w:r>
        <w:rPr>
          <w:rFonts w:hint="eastAsia" w:ascii="宋体" w:hAnsi="宋体" w:eastAsia="宋体" w:cs="宋体"/>
          <w:color w:val="000000"/>
          <w:spacing w:val="0"/>
          <w:w w:val="100"/>
          <w:position w:val="0"/>
          <w:sz w:val="32"/>
          <w:szCs w:val="32"/>
        </w:rPr>
        <w:t xml:space="preserve"> 与渔港经营活动有关的单位和个人应加强安全 生产管理，制定安全作业操作规程，保障渔港设施、码头、道路的正常运行，并对经营活动范围内的安全工作负责。</w:t>
      </w:r>
    </w:p>
    <w:p w14:paraId="0666DDAA">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p>
    <w:p w14:paraId="3B7C5335">
      <w:pPr>
        <w:keepNext w:val="0"/>
        <w:keepLines w:val="0"/>
        <w:pageBreakBefore w:val="0"/>
        <w:widowControl w:val="0"/>
        <w:kinsoku/>
        <w:wordWrap/>
        <w:overflowPunct/>
        <w:topLinePunct w:val="0"/>
        <w:autoSpaceDE/>
        <w:autoSpaceDN/>
        <w:bidi w:val="0"/>
        <w:adjustRightInd/>
        <w:snapToGrid/>
        <w:spacing w:before="313" w:beforeLines="100" w:after="313" w:afterLines="100" w:line="570" w:lineRule="exact"/>
        <w:jc w:val="center"/>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第五章</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渔港环境管理</w:t>
      </w:r>
    </w:p>
    <w:p w14:paraId="46F4539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eastAsia="zh-CN"/>
        </w:rPr>
        <w:t>二十</w:t>
      </w:r>
      <w:r>
        <w:rPr>
          <w:rFonts w:hint="eastAsia" w:ascii="宋体" w:hAnsi="宋体" w:eastAsia="宋体" w:cs="宋体"/>
          <w:color w:val="auto"/>
          <w:sz w:val="32"/>
          <w:szCs w:val="32"/>
          <w:highlight w:val="none"/>
          <w:lang w:val="en-US" w:eastAsia="zh-CN"/>
        </w:rPr>
        <w:t>九</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rPr>
        <w:t>遵守环境保护的相关法律法规及渔港环境保护相关规定，防止对渔港水域及其周边环境造成污染和危害。</w:t>
      </w:r>
    </w:p>
    <w:p w14:paraId="5D7FF5C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在渔港区域范围外从事工程建设等活动可能导致港区淤积、水文变化或者危及渔港安全的，施工单位应当采取有效的防护措施。</w:t>
      </w:r>
    </w:p>
    <w:p w14:paraId="13F222AB">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lang w:eastAsia="zh-CN"/>
        </w:rPr>
        <w:t>十</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rPr>
        <w:t>严禁向港区内倾倒生活、生产、建筑垃圾，禁止排放废弃物、油类和油性混合物及其他污水等有害物质。禁止从事可能污染渔港水域、环境的作业活动。禁止在渔港内弃置废旧船舶。</w:t>
      </w:r>
    </w:p>
    <w:p w14:paraId="6076051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船舶垃圾应当交由具备资质的垃圾处理单位处理，不得排入本港水域。</w:t>
      </w:r>
    </w:p>
    <w:p w14:paraId="78AB1922">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sz w:val="32"/>
          <w:szCs w:val="32"/>
        </w:rPr>
        <w:t>渔船修造等可能产生污物的单位和个人应加强管理，设置污物围栏等防护措施，及时清理，防止污物进入渔港水域。</w:t>
      </w:r>
    </w:p>
    <w:p w14:paraId="74BDBB7B">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lang w:eastAsia="zh-CN"/>
        </w:rPr>
        <w:t>十</w:t>
      </w:r>
      <w:r>
        <w:rPr>
          <w:rFonts w:hint="eastAsia" w:ascii="宋体" w:hAnsi="宋体" w:eastAsia="宋体" w:cs="宋体"/>
          <w:color w:val="auto"/>
          <w:sz w:val="32"/>
          <w:szCs w:val="32"/>
          <w:highlight w:val="none"/>
          <w:lang w:val="en-US" w:eastAsia="zh-CN"/>
        </w:rPr>
        <w:t>一</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rPr>
        <w:t>严禁无证无</w:t>
      </w:r>
      <w:r>
        <w:rPr>
          <w:rFonts w:hint="eastAsia" w:ascii="宋体" w:hAnsi="宋体" w:eastAsia="宋体" w:cs="宋体"/>
          <w:sz w:val="32"/>
          <w:szCs w:val="32"/>
          <w:lang w:val="en-US" w:eastAsia="zh-CN"/>
        </w:rPr>
        <w:t>牌</w:t>
      </w:r>
      <w:r>
        <w:rPr>
          <w:rFonts w:hint="eastAsia" w:ascii="宋体" w:hAnsi="宋体" w:eastAsia="宋体" w:cs="宋体"/>
          <w:sz w:val="32"/>
          <w:szCs w:val="32"/>
        </w:rPr>
        <w:t>加油站、点、车、船在渔港范围内从事非法加油活动。加油时发生跑、冒、滴、漏的，当事人应当及时采取措施予以清除。</w:t>
      </w:r>
    </w:p>
    <w:p w14:paraId="1C905AEA">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lang w:eastAsia="zh-CN"/>
        </w:rPr>
        <w:t>十</w:t>
      </w:r>
      <w:r>
        <w:rPr>
          <w:rFonts w:hint="eastAsia" w:ascii="宋体" w:hAnsi="宋体" w:eastAsia="宋体" w:cs="宋体"/>
          <w:color w:val="auto"/>
          <w:sz w:val="32"/>
          <w:szCs w:val="32"/>
          <w:highlight w:val="none"/>
          <w:lang w:val="en-US" w:eastAsia="zh-CN"/>
        </w:rPr>
        <w:t>二</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rPr>
        <w:t>应当遵守供电部门的管理规定，做到规范安全用电，严禁私拉乱接岸电。</w:t>
      </w:r>
    </w:p>
    <w:p w14:paraId="17F0DE12">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lang w:eastAsia="zh-CN"/>
        </w:rPr>
        <w:t>十</w:t>
      </w: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rPr>
        <w:t>应爱护渔港绿化及其他设施，严禁损毁渔港绿化设施，严禁在渔港边乱堆乱放杂物或违法搭建。</w:t>
      </w:r>
    </w:p>
    <w:p w14:paraId="52BE2DC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lang w:eastAsia="zh-CN"/>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三</w:t>
      </w:r>
      <w:r>
        <w:rPr>
          <w:rFonts w:hint="eastAsia" w:ascii="宋体" w:hAnsi="宋体" w:eastAsia="宋体" w:cs="宋体"/>
          <w:color w:val="auto"/>
          <w:sz w:val="32"/>
          <w:szCs w:val="32"/>
          <w:highlight w:val="none"/>
          <w:lang w:eastAsia="zh-CN"/>
        </w:rPr>
        <w:t>十</w:t>
      </w:r>
      <w:r>
        <w:rPr>
          <w:rFonts w:hint="eastAsia" w:ascii="宋体" w:hAnsi="宋体" w:eastAsia="宋体" w:cs="宋体"/>
          <w:color w:val="auto"/>
          <w:sz w:val="32"/>
          <w:szCs w:val="32"/>
          <w:highlight w:val="none"/>
          <w:lang w:val="en-US" w:eastAsia="zh-CN"/>
        </w:rPr>
        <w:t>四</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rPr>
        <w:t>渔港水域发生污染事故应立即采取措施控制和消除污染，并尽快报告，由区生态环境、自然资源、交通运输、农业农村、发展改革、住房和城乡建设及其他相关部门按职责分工依法进行指导、协调、监督、保护、修复和调查处理工作</w:t>
      </w:r>
      <w:r>
        <w:rPr>
          <w:rFonts w:hint="eastAsia" w:ascii="宋体" w:hAnsi="宋体" w:eastAsia="宋体" w:cs="宋体"/>
          <w:sz w:val="32"/>
          <w:szCs w:val="32"/>
          <w:lang w:eastAsia="zh-CN"/>
        </w:rPr>
        <w:t>。</w:t>
      </w:r>
    </w:p>
    <w:p w14:paraId="5C000AC6">
      <w:pPr>
        <w:keepNext w:val="0"/>
        <w:keepLines w:val="0"/>
        <w:pageBreakBefore w:val="0"/>
        <w:widowControl w:val="0"/>
        <w:kinsoku/>
        <w:wordWrap/>
        <w:overflowPunct/>
        <w:topLinePunct w:val="0"/>
        <w:autoSpaceDE/>
        <w:autoSpaceDN/>
        <w:bidi w:val="0"/>
        <w:adjustRightInd/>
        <w:snapToGrid/>
        <w:spacing w:before="313" w:beforeLines="100" w:after="313" w:afterLines="100" w:line="570" w:lineRule="exact"/>
        <w:jc w:val="center"/>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第六章</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渔业船舶进出渔港管理</w:t>
      </w:r>
    </w:p>
    <w:p w14:paraId="4258782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lang w:eastAsia="zh-CN"/>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三十五</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rPr>
        <w:t>船舶进出渔港，应当遵守渔港章程</w:t>
      </w:r>
      <w:r>
        <w:rPr>
          <w:rFonts w:hint="eastAsia" w:ascii="宋体" w:hAnsi="宋体" w:eastAsia="宋体" w:cs="宋体"/>
          <w:sz w:val="32"/>
          <w:szCs w:val="32"/>
          <w:lang w:eastAsia="zh-CN"/>
        </w:rPr>
        <w:t>、</w:t>
      </w:r>
      <w:r>
        <w:rPr>
          <w:rFonts w:hint="eastAsia" w:ascii="宋体" w:hAnsi="宋体" w:eastAsia="宋体" w:cs="宋体"/>
          <w:sz w:val="32"/>
          <w:szCs w:val="32"/>
        </w:rPr>
        <w:t>避碰规则</w:t>
      </w:r>
      <w:r>
        <w:rPr>
          <w:rFonts w:hint="eastAsia" w:ascii="宋体" w:hAnsi="宋体" w:eastAsia="宋体" w:cs="宋体"/>
          <w:sz w:val="32"/>
          <w:szCs w:val="32"/>
          <w:lang w:eastAsia="zh-CN"/>
        </w:rPr>
        <w:t>和</w:t>
      </w:r>
      <w:r>
        <w:rPr>
          <w:rFonts w:hint="eastAsia" w:ascii="宋体" w:hAnsi="宋体" w:eastAsia="宋体" w:cs="宋体"/>
          <w:sz w:val="32"/>
          <w:szCs w:val="32"/>
          <w:lang w:val="en-US" w:eastAsia="zh-CN"/>
        </w:rPr>
        <w:t>渔业船舶进出渔港报告</w:t>
      </w:r>
      <w:r>
        <w:rPr>
          <w:rFonts w:hint="eastAsia" w:ascii="宋体" w:hAnsi="宋体" w:eastAsia="宋体" w:cs="宋体"/>
          <w:sz w:val="32"/>
          <w:szCs w:val="32"/>
        </w:rPr>
        <w:t>等规定，向</w:t>
      </w:r>
      <w:r>
        <w:rPr>
          <w:rFonts w:hint="eastAsia" w:ascii="宋体" w:hAnsi="宋体" w:eastAsia="宋体" w:cs="宋体"/>
          <w:sz w:val="32"/>
          <w:szCs w:val="32"/>
          <w:lang w:val="en-US" w:eastAsia="zh-CN"/>
        </w:rPr>
        <w:t>市海洋综合执法大队</w:t>
      </w:r>
      <w:r>
        <w:rPr>
          <w:rFonts w:hint="eastAsia" w:ascii="宋体" w:hAnsi="宋体" w:eastAsia="宋体" w:cs="宋体"/>
          <w:sz w:val="32"/>
          <w:szCs w:val="32"/>
        </w:rPr>
        <w:t>申请办理进出港报告手续，并接受安全检查。</w:t>
      </w:r>
      <w:r>
        <w:rPr>
          <w:rFonts w:hint="eastAsia" w:ascii="宋体" w:hAnsi="宋体" w:eastAsia="宋体" w:cs="宋体"/>
          <w:sz w:val="32"/>
          <w:szCs w:val="32"/>
          <w:lang w:eastAsia="zh-CN"/>
        </w:rPr>
        <w:t>要求如下：</w:t>
      </w:r>
    </w:p>
    <w:p w14:paraId="3EEC2FD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大中型（船长 12 米及以上）海洋渔船进出渔港实施航次报告。</w:t>
      </w:r>
    </w:p>
    <w:p w14:paraId="1E104E5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小型（船长 12 米以下）海洋渔船、内陆渔船进出渔港实施不定期报告。</w:t>
      </w:r>
    </w:p>
    <w:p w14:paraId="3F578F56">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长期不进出渔港的渔船实施不定期报告。</w:t>
      </w:r>
    </w:p>
    <w:p w14:paraId="1F34DB61">
      <w:pPr>
        <w:keepNext w:val="0"/>
        <w:keepLines w:val="0"/>
        <w:pageBreakBefore w:val="0"/>
        <w:widowControl w:val="0"/>
        <w:kinsoku/>
        <w:wordWrap/>
        <w:overflowPunct/>
        <w:topLinePunct w:val="0"/>
        <w:autoSpaceDE/>
        <w:autoSpaceDN/>
        <w:bidi w:val="0"/>
        <w:adjustRightInd/>
        <w:snapToGrid/>
        <w:spacing w:line="570" w:lineRule="exact"/>
        <w:ind w:firstLine="620" w:firstLineChars="200"/>
        <w:textAlignment w:val="auto"/>
        <w:rPr>
          <w:rFonts w:hint="eastAsia" w:ascii="宋体" w:hAnsi="宋体" w:eastAsia="宋体" w:cs="宋体"/>
          <w:color w:val="000000"/>
          <w:kern w:val="0"/>
          <w:sz w:val="31"/>
          <w:szCs w:val="31"/>
          <w:lang w:val="en-US" w:eastAsia="zh-CN" w:bidi="ar"/>
        </w:rPr>
      </w:pPr>
      <w:r>
        <w:rPr>
          <w:rFonts w:hint="eastAsia" w:ascii="宋体" w:hAnsi="宋体" w:eastAsia="宋体" w:cs="宋体"/>
          <w:color w:val="000000"/>
          <w:kern w:val="0"/>
          <w:sz w:val="31"/>
          <w:szCs w:val="31"/>
          <w:lang w:val="en-US" w:eastAsia="zh-CN" w:bidi="ar"/>
        </w:rPr>
        <w:t>不定期报告是指在休（禁）渔结束后首航次和配员情况、习惯作业区域及停泊区域发生变化时实施的报告。渔船因天气或应急等特殊原因不能及时报告的，应当在进出渔港后24小时内补办报告手续。</w:t>
      </w:r>
    </w:p>
    <w:p w14:paraId="7CEF3AD5">
      <w:pPr>
        <w:keepNext w:val="0"/>
        <w:keepLines w:val="0"/>
        <w:pageBreakBefore w:val="0"/>
        <w:widowControl/>
        <w:suppressLineNumbers w:val="0"/>
        <w:kinsoku/>
        <w:wordWrap/>
        <w:overflowPunct/>
        <w:topLinePunct w:val="0"/>
        <w:autoSpaceDE/>
        <w:autoSpaceDN/>
        <w:bidi w:val="0"/>
        <w:adjustRightInd/>
        <w:snapToGrid/>
        <w:spacing w:line="570" w:lineRule="exact"/>
        <w:ind w:firstLine="620" w:firstLineChars="200"/>
        <w:jc w:val="left"/>
        <w:textAlignment w:val="auto"/>
        <w:rPr>
          <w:rFonts w:hint="eastAsia" w:ascii="宋体" w:hAnsi="宋体" w:eastAsia="宋体" w:cs="宋体"/>
        </w:rPr>
      </w:pPr>
      <w:r>
        <w:rPr>
          <w:rFonts w:hint="eastAsia" w:ascii="宋体" w:hAnsi="宋体" w:eastAsia="宋体" w:cs="宋体"/>
          <w:color w:val="000000"/>
          <w:kern w:val="0"/>
          <w:sz w:val="31"/>
          <w:szCs w:val="31"/>
          <w:lang w:val="en-US" w:eastAsia="zh-CN" w:bidi="ar"/>
        </w:rPr>
        <w:t>进出本渔港的非渔船应当参照上述条款向市海洋综合执法大队报告。</w:t>
      </w:r>
    </w:p>
    <w:p w14:paraId="3F3B84A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第三十</w:t>
      </w:r>
      <w:r>
        <w:rPr>
          <w:rFonts w:hint="eastAsia" w:ascii="宋体" w:hAnsi="宋体" w:eastAsia="宋体" w:cs="宋体"/>
          <w:color w:val="auto"/>
          <w:sz w:val="32"/>
          <w:szCs w:val="32"/>
          <w:highlight w:val="none"/>
          <w:lang w:val="en-US" w:eastAsia="zh-CN"/>
        </w:rPr>
        <w:t>六</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rPr>
        <w:t>船舶</w:t>
      </w:r>
      <w:r>
        <w:rPr>
          <w:rFonts w:hint="eastAsia" w:ascii="宋体" w:hAnsi="宋体" w:eastAsia="宋体" w:cs="宋体"/>
          <w:sz w:val="32"/>
          <w:szCs w:val="32"/>
          <w:lang w:eastAsia="zh-CN"/>
        </w:rPr>
        <w:t>在</w:t>
      </w:r>
      <w:r>
        <w:rPr>
          <w:rFonts w:hint="eastAsia" w:ascii="宋体" w:hAnsi="宋体" w:eastAsia="宋体" w:cs="宋体"/>
          <w:sz w:val="32"/>
          <w:szCs w:val="32"/>
        </w:rPr>
        <w:t>渔港内航行、作业、停泊，须按顺序进行，严禁船舶追越、争档抢位和在航道内锚泊。公务船在执行应急任务时有优先通行权。</w:t>
      </w:r>
    </w:p>
    <w:p w14:paraId="0497086B">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sz w:val="32"/>
          <w:szCs w:val="32"/>
          <w:highlight w:val="none"/>
        </w:rPr>
        <w:t>第三十</w:t>
      </w:r>
      <w:r>
        <w:rPr>
          <w:rFonts w:hint="eastAsia" w:ascii="宋体" w:hAnsi="宋体" w:eastAsia="宋体" w:cs="宋体"/>
          <w:color w:val="auto"/>
          <w:sz w:val="32"/>
          <w:szCs w:val="32"/>
          <w:highlight w:val="none"/>
          <w:lang w:val="en-US" w:eastAsia="zh-CN"/>
        </w:rPr>
        <w:t>七</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rPr>
        <w:t>港澳台渔船及非渔业船舶进出渔港，应根据规定向公安、</w:t>
      </w:r>
      <w:r>
        <w:rPr>
          <w:rFonts w:hint="eastAsia" w:ascii="宋体" w:hAnsi="宋体" w:eastAsia="宋体" w:cs="宋体"/>
          <w:sz w:val="32"/>
          <w:szCs w:val="32"/>
          <w:lang w:eastAsia="zh-CN"/>
        </w:rPr>
        <w:t>农业农村</w:t>
      </w:r>
      <w:r>
        <w:rPr>
          <w:rFonts w:hint="eastAsia" w:ascii="宋体" w:hAnsi="宋体" w:eastAsia="宋体" w:cs="宋体"/>
          <w:sz w:val="32"/>
          <w:szCs w:val="32"/>
        </w:rPr>
        <w:t>等相关部门报告，各相关部门依照各自职责做好监督检查和服务工作。</w:t>
      </w:r>
    </w:p>
    <w:p w14:paraId="3745CDF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sz w:val="32"/>
          <w:szCs w:val="32"/>
          <w:highlight w:val="none"/>
          <w:lang w:val="en-US" w:eastAsia="zh-CN"/>
        </w:rPr>
        <w:t>第</w:t>
      </w:r>
      <w:r>
        <w:rPr>
          <w:rFonts w:hint="eastAsia" w:ascii="宋体" w:hAnsi="宋体" w:eastAsia="宋体" w:cs="宋体"/>
          <w:color w:val="auto"/>
          <w:sz w:val="32"/>
          <w:szCs w:val="32"/>
          <w:highlight w:val="none"/>
        </w:rPr>
        <w:t>三十</w:t>
      </w:r>
      <w:r>
        <w:rPr>
          <w:rFonts w:hint="eastAsia" w:ascii="宋体" w:hAnsi="宋体" w:eastAsia="宋体" w:cs="宋体"/>
          <w:color w:val="auto"/>
          <w:sz w:val="32"/>
          <w:szCs w:val="32"/>
          <w:highlight w:val="none"/>
          <w:lang w:val="en-US" w:eastAsia="zh-CN"/>
        </w:rPr>
        <w:t xml:space="preserve">八条  </w:t>
      </w:r>
      <w:r>
        <w:rPr>
          <w:rFonts w:hint="eastAsia" w:ascii="宋体" w:hAnsi="宋体" w:eastAsia="宋体" w:cs="宋体"/>
          <w:sz w:val="32"/>
          <w:szCs w:val="32"/>
        </w:rPr>
        <w:t>船舶有下列情形之一的，</w:t>
      </w:r>
      <w:r>
        <w:rPr>
          <w:rFonts w:hint="eastAsia" w:ascii="宋体" w:hAnsi="宋体" w:eastAsia="宋体" w:cs="宋体"/>
          <w:sz w:val="32"/>
          <w:szCs w:val="32"/>
          <w:lang w:val="en-US" w:eastAsia="zh-CN"/>
        </w:rPr>
        <w:t>市海洋综合执法大队</w:t>
      </w:r>
      <w:r>
        <w:rPr>
          <w:rFonts w:hint="eastAsia" w:ascii="宋体" w:hAnsi="宋体" w:eastAsia="宋体" w:cs="宋体"/>
          <w:sz w:val="32"/>
          <w:szCs w:val="32"/>
        </w:rPr>
        <w:t>有权禁止其离港，或责令其停航、停止作业。</w:t>
      </w:r>
    </w:p>
    <w:p w14:paraId="00CF728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（一）违反中华人民共和国法律、法规或者规章的。</w:t>
      </w:r>
    </w:p>
    <w:p w14:paraId="204C930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（二）处于不适航</w:t>
      </w:r>
      <w:r>
        <w:rPr>
          <w:rFonts w:hint="eastAsia" w:ascii="宋体" w:hAnsi="宋体" w:eastAsia="宋体" w:cs="宋体"/>
          <w:sz w:val="32"/>
          <w:szCs w:val="32"/>
          <w:lang w:bidi="ar"/>
        </w:rPr>
        <w:t>或者不适拖状态的</w:t>
      </w:r>
      <w:r>
        <w:rPr>
          <w:rFonts w:hint="eastAsia" w:ascii="宋体" w:hAnsi="宋体" w:eastAsia="宋体" w:cs="宋体"/>
          <w:sz w:val="32"/>
          <w:szCs w:val="32"/>
        </w:rPr>
        <w:t>。</w:t>
      </w:r>
    </w:p>
    <w:p w14:paraId="4A9345C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（三）发生交通事故，手续未清的。</w:t>
      </w:r>
    </w:p>
    <w:p w14:paraId="6E7F9E3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rPr>
        <w:t>（四）未按规定配备、开启通讯定位等终端设备，未向有关部门交付应当承担的费用，也未提供担保的</w:t>
      </w:r>
      <w:r>
        <w:rPr>
          <w:rFonts w:hint="eastAsia" w:ascii="宋体" w:hAnsi="宋体" w:eastAsia="宋体" w:cs="宋体"/>
          <w:sz w:val="32"/>
          <w:szCs w:val="32"/>
          <w:lang w:eastAsia="zh-CN"/>
        </w:rPr>
        <w:t>。</w:t>
      </w:r>
    </w:p>
    <w:p w14:paraId="5194BCC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（五）违反本章程有关规定行为的。</w:t>
      </w:r>
    </w:p>
    <w:p w14:paraId="287655C6">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sz w:val="32"/>
          <w:szCs w:val="32"/>
          <w:lang w:eastAsia="zh-CN" w:bidi="ar"/>
        </w:rPr>
        <w:t>（六）</w:t>
      </w:r>
      <w:r>
        <w:rPr>
          <w:rFonts w:hint="eastAsia" w:ascii="宋体" w:hAnsi="宋体" w:eastAsia="宋体" w:cs="宋体"/>
          <w:sz w:val="32"/>
          <w:szCs w:val="32"/>
          <w:lang w:val="en-US" w:eastAsia="zh-CN" w:bidi="ar"/>
        </w:rPr>
        <w:t>市</w:t>
      </w:r>
      <w:r>
        <w:rPr>
          <w:rFonts w:hint="eastAsia" w:ascii="宋体" w:hAnsi="宋体" w:eastAsia="宋体" w:cs="宋体"/>
          <w:sz w:val="32"/>
          <w:szCs w:val="32"/>
          <w:lang w:val="en-US" w:eastAsia="zh-CN"/>
        </w:rPr>
        <w:t>海洋综合执法大队</w:t>
      </w:r>
      <w:r>
        <w:rPr>
          <w:rFonts w:hint="eastAsia" w:ascii="宋体" w:hAnsi="宋体" w:eastAsia="宋体" w:cs="宋体"/>
          <w:sz w:val="32"/>
          <w:szCs w:val="32"/>
          <w:lang w:bidi="ar"/>
        </w:rPr>
        <w:t>认为有其他妨害或者可能妨害海上交通安全的。</w:t>
      </w:r>
    </w:p>
    <w:p w14:paraId="3364ABCF">
      <w:pPr>
        <w:keepNext w:val="0"/>
        <w:keepLines w:val="0"/>
        <w:pageBreakBefore w:val="0"/>
        <w:widowControl w:val="0"/>
        <w:kinsoku/>
        <w:wordWrap/>
        <w:overflowPunct/>
        <w:topLinePunct w:val="0"/>
        <w:autoSpaceDE/>
        <w:autoSpaceDN/>
        <w:bidi w:val="0"/>
        <w:adjustRightInd/>
        <w:snapToGrid/>
        <w:spacing w:before="313" w:beforeLines="100" w:after="313" w:afterLines="100" w:line="570" w:lineRule="exact"/>
        <w:jc w:val="center"/>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第七章</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交通事故处理</w:t>
      </w:r>
    </w:p>
    <w:p w14:paraId="30D4EEB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sz w:val="32"/>
          <w:szCs w:val="32"/>
          <w:highlight w:val="none"/>
        </w:rPr>
        <w:t>第三十</w:t>
      </w:r>
      <w:r>
        <w:rPr>
          <w:rFonts w:hint="eastAsia" w:ascii="宋体" w:hAnsi="宋体" w:eastAsia="宋体" w:cs="宋体"/>
          <w:color w:val="auto"/>
          <w:sz w:val="32"/>
          <w:szCs w:val="32"/>
          <w:highlight w:val="none"/>
          <w:lang w:val="en-US" w:eastAsia="zh-CN"/>
        </w:rPr>
        <w:t>九</w:t>
      </w:r>
      <w:r>
        <w:rPr>
          <w:rFonts w:hint="eastAsia" w:ascii="宋体" w:hAnsi="宋体" w:eastAsia="宋体" w:cs="宋体"/>
          <w:color w:val="auto"/>
          <w:sz w:val="32"/>
          <w:szCs w:val="32"/>
          <w:highlight w:val="none"/>
        </w:rPr>
        <w:t xml:space="preserve">条 </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rPr>
        <w:t>渔港水域内的交通事故由</w:t>
      </w:r>
      <w:r>
        <w:rPr>
          <w:rFonts w:hint="eastAsia" w:ascii="宋体" w:hAnsi="宋体" w:eastAsia="宋体" w:cs="宋体"/>
          <w:sz w:val="32"/>
          <w:szCs w:val="32"/>
          <w:lang w:val="en-US" w:eastAsia="zh-CN"/>
        </w:rPr>
        <w:t>市海洋综合执法大队</w:t>
      </w:r>
      <w:r>
        <w:rPr>
          <w:rFonts w:hint="eastAsia" w:ascii="宋体" w:hAnsi="宋体" w:eastAsia="宋体" w:cs="宋体"/>
          <w:sz w:val="32"/>
          <w:szCs w:val="32"/>
        </w:rPr>
        <w:t>查明原因，判明责任，作出处理决定。渔港内发生水上交通事故的，当事人应当及时向</w:t>
      </w:r>
      <w:r>
        <w:rPr>
          <w:rFonts w:hint="eastAsia" w:ascii="宋体" w:hAnsi="宋体" w:eastAsia="宋体" w:cs="宋体"/>
          <w:sz w:val="32"/>
          <w:szCs w:val="32"/>
          <w:lang w:val="en-US" w:eastAsia="zh-CN"/>
        </w:rPr>
        <w:t>市海洋综合执法大队</w:t>
      </w:r>
      <w:r>
        <w:rPr>
          <w:rFonts w:hint="eastAsia" w:ascii="宋体" w:hAnsi="宋体" w:eastAsia="宋体" w:cs="宋体"/>
          <w:sz w:val="32"/>
          <w:szCs w:val="32"/>
        </w:rPr>
        <w:t>报告，接受处理；渔业船舶在港外发生的交通事故，应在进港四十八小时内向</w:t>
      </w:r>
      <w:r>
        <w:rPr>
          <w:rFonts w:hint="eastAsia" w:ascii="宋体" w:hAnsi="宋体" w:eastAsia="宋体" w:cs="宋体"/>
          <w:sz w:val="32"/>
          <w:szCs w:val="32"/>
          <w:lang w:val="en-US" w:eastAsia="zh-CN"/>
        </w:rPr>
        <w:t>市海洋综合执法大队</w:t>
      </w:r>
      <w:r>
        <w:rPr>
          <w:rFonts w:hint="eastAsia" w:ascii="宋体" w:hAnsi="宋体" w:eastAsia="宋体" w:cs="宋体"/>
          <w:sz w:val="32"/>
          <w:szCs w:val="32"/>
        </w:rPr>
        <w:t>递交事故报告书和有关材料。</w:t>
      </w:r>
    </w:p>
    <w:p w14:paraId="798FB68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第</w:t>
      </w:r>
      <w:r>
        <w:rPr>
          <w:rFonts w:hint="eastAsia" w:ascii="宋体" w:hAnsi="宋体" w:eastAsia="宋体" w:cs="宋体"/>
          <w:color w:val="auto"/>
          <w:sz w:val="32"/>
          <w:szCs w:val="32"/>
          <w:highlight w:val="none"/>
          <w:lang w:val="en-US" w:eastAsia="zh-CN"/>
        </w:rPr>
        <w:t>四十</w:t>
      </w:r>
      <w:r>
        <w:rPr>
          <w:rFonts w:hint="eastAsia" w:ascii="宋体" w:hAnsi="宋体" w:eastAsia="宋体" w:cs="宋体"/>
          <w:color w:val="auto"/>
          <w:sz w:val="32"/>
          <w:szCs w:val="32"/>
          <w:highlight w:val="none"/>
          <w:lang w:eastAsia="zh-CN"/>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lang w:val="en-US" w:eastAsia="zh-CN"/>
        </w:rPr>
        <w:t>渔港水域内发生交通事故引起的民事纠纷</w:t>
      </w:r>
      <w:r>
        <w:rPr>
          <w:rFonts w:hint="eastAsia" w:ascii="宋体" w:hAnsi="宋体" w:eastAsia="宋体" w:cs="宋体"/>
          <w:sz w:val="32"/>
          <w:szCs w:val="32"/>
        </w:rPr>
        <w:t>，双方当事人可以协商处理，协商不成的</w:t>
      </w:r>
      <w:r>
        <w:rPr>
          <w:rFonts w:hint="eastAsia" w:ascii="宋体" w:hAnsi="宋体" w:eastAsia="宋体" w:cs="宋体"/>
          <w:sz w:val="32"/>
          <w:szCs w:val="32"/>
          <w:lang w:val="en-US" w:eastAsia="zh-CN"/>
        </w:rPr>
        <w:t>由</w:t>
      </w:r>
      <w:r>
        <w:rPr>
          <w:rFonts w:hint="eastAsia" w:ascii="宋体" w:hAnsi="宋体" w:eastAsia="宋体" w:cs="宋体"/>
          <w:sz w:val="32"/>
          <w:szCs w:val="32"/>
        </w:rPr>
        <w:t>渔政监督管理机构</w:t>
      </w:r>
      <w:r>
        <w:rPr>
          <w:rFonts w:hint="eastAsia" w:ascii="宋体" w:hAnsi="宋体" w:eastAsia="宋体" w:cs="宋体"/>
          <w:sz w:val="32"/>
          <w:szCs w:val="32"/>
          <w:lang w:bidi="ar"/>
        </w:rPr>
        <w:t>调解处理；调解不成或者不愿意调解的，当事人可以向人民法院起诉。</w:t>
      </w:r>
    </w:p>
    <w:p w14:paraId="683FAF8C">
      <w:pPr>
        <w:keepNext w:val="0"/>
        <w:keepLines w:val="0"/>
        <w:pageBreakBefore w:val="0"/>
        <w:widowControl w:val="0"/>
        <w:kinsoku/>
        <w:wordWrap/>
        <w:overflowPunct/>
        <w:topLinePunct w:val="0"/>
        <w:autoSpaceDE/>
        <w:autoSpaceDN/>
        <w:bidi w:val="0"/>
        <w:adjustRightInd/>
        <w:snapToGrid/>
        <w:spacing w:before="313" w:beforeLines="100" w:after="313" w:afterLines="100" w:line="570" w:lineRule="exact"/>
        <w:jc w:val="center"/>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第八章</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附则</w:t>
      </w:r>
    </w:p>
    <w:p w14:paraId="493565B5">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四十一</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32"/>
          <w:szCs w:val="32"/>
        </w:rPr>
        <w:t>发生公共卫生突发事件时，事发单位应当立即采取有效措施，并通知卫生防疫、检验检疫部门，做好应急救援工作。</w:t>
      </w:r>
    </w:p>
    <w:p w14:paraId="50FB5E5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四十二</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对违反本章程的，由各职能部门按其性质，依法予以处理，情节严重，涉嫌犯罪的，移交司法机关依法追究刑事责任。</w:t>
      </w:r>
    </w:p>
    <w:p w14:paraId="58B6E4D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四十三</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本章程</w:t>
      </w:r>
      <w:r>
        <w:rPr>
          <w:rFonts w:hint="eastAsia" w:ascii="宋体" w:hAnsi="宋体" w:eastAsia="宋体" w:cs="宋体"/>
          <w:sz w:val="32"/>
          <w:szCs w:val="32"/>
          <w:lang w:eastAsia="zh-CN"/>
        </w:rPr>
        <w:t>由</w:t>
      </w:r>
      <w:r>
        <w:rPr>
          <w:rFonts w:hint="eastAsia" w:ascii="宋体" w:hAnsi="宋体" w:eastAsia="宋体" w:cs="宋体"/>
          <w:sz w:val="32"/>
          <w:szCs w:val="32"/>
          <w:lang w:val="en-US" w:eastAsia="zh-CN"/>
        </w:rPr>
        <w:t>坡头区农业农村</w:t>
      </w:r>
      <w:r>
        <w:rPr>
          <w:rFonts w:hint="eastAsia" w:ascii="宋体" w:hAnsi="宋体" w:eastAsia="宋体" w:cs="宋体"/>
          <w:sz w:val="32"/>
          <w:szCs w:val="32"/>
        </w:rPr>
        <w:t>局</w:t>
      </w:r>
      <w:r>
        <w:rPr>
          <w:rFonts w:hint="eastAsia" w:ascii="宋体" w:hAnsi="宋体" w:eastAsia="宋体" w:cs="宋体"/>
          <w:sz w:val="32"/>
          <w:szCs w:val="32"/>
          <w:lang w:eastAsia="zh-CN"/>
        </w:rPr>
        <w:t>组织编制</w:t>
      </w:r>
      <w:r>
        <w:rPr>
          <w:rFonts w:hint="eastAsia" w:ascii="宋体" w:hAnsi="宋体" w:eastAsia="宋体" w:cs="宋体"/>
          <w:sz w:val="32"/>
          <w:szCs w:val="32"/>
        </w:rPr>
        <w:t>，</w:t>
      </w:r>
      <w:r>
        <w:rPr>
          <w:rFonts w:hint="eastAsia" w:ascii="宋体" w:hAnsi="宋体" w:eastAsia="宋体" w:cs="宋体"/>
          <w:sz w:val="32"/>
          <w:szCs w:val="32"/>
          <w:lang w:val="en-US" w:eastAsia="zh-CN"/>
        </w:rPr>
        <w:t>坡头区</w:t>
      </w:r>
      <w:r>
        <w:rPr>
          <w:rFonts w:hint="eastAsia" w:ascii="宋体" w:hAnsi="宋体" w:eastAsia="宋体" w:cs="宋体"/>
          <w:sz w:val="32"/>
          <w:szCs w:val="32"/>
          <w:lang w:eastAsia="zh-CN"/>
        </w:rPr>
        <w:t>人民政府</w:t>
      </w:r>
      <w:r>
        <w:rPr>
          <w:rFonts w:hint="eastAsia" w:ascii="宋体" w:hAnsi="宋体" w:eastAsia="宋体" w:cs="宋体"/>
          <w:sz w:val="32"/>
          <w:szCs w:val="32"/>
        </w:rPr>
        <w:t>批准</w:t>
      </w:r>
      <w:r>
        <w:rPr>
          <w:rFonts w:hint="eastAsia" w:ascii="宋体" w:hAnsi="宋体" w:eastAsia="宋体" w:cs="宋体"/>
          <w:sz w:val="32"/>
          <w:szCs w:val="32"/>
          <w:lang w:eastAsia="zh-CN"/>
        </w:rPr>
        <w:t>，</w:t>
      </w:r>
      <w:r>
        <w:rPr>
          <w:rFonts w:hint="eastAsia" w:ascii="宋体" w:hAnsi="宋体" w:eastAsia="宋体" w:cs="宋体"/>
          <w:color w:val="auto"/>
          <w:sz w:val="32"/>
          <w:szCs w:val="32"/>
          <w:highlight w:val="none"/>
        </w:rPr>
        <w:t>解释权</w:t>
      </w:r>
      <w:r>
        <w:rPr>
          <w:rFonts w:hint="eastAsia" w:ascii="宋体" w:hAnsi="宋体" w:eastAsia="宋体" w:cs="宋体"/>
          <w:color w:val="auto"/>
          <w:sz w:val="32"/>
          <w:szCs w:val="32"/>
          <w:highlight w:val="none"/>
          <w:lang w:val="en-US" w:eastAsia="zh-CN"/>
        </w:rPr>
        <w:t>归坡头区</w:t>
      </w:r>
      <w:r>
        <w:rPr>
          <w:rFonts w:hint="eastAsia" w:ascii="宋体" w:hAnsi="宋体" w:eastAsia="宋体" w:cs="宋体"/>
          <w:color w:val="auto"/>
          <w:sz w:val="32"/>
          <w:szCs w:val="32"/>
          <w:highlight w:val="none"/>
        </w:rPr>
        <w:t>农业农村局。</w:t>
      </w:r>
    </w:p>
    <w:p w14:paraId="1F2CE63D">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四十四</w:t>
      </w:r>
      <w:r>
        <w:rPr>
          <w:rFonts w:hint="eastAsia" w:ascii="宋体" w:hAnsi="宋体" w:eastAsia="宋体" w:cs="宋体"/>
          <w:color w:val="auto"/>
          <w:sz w:val="32"/>
          <w:szCs w:val="32"/>
          <w:highlight w:val="none"/>
        </w:rPr>
        <w:t>条</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本章程未规定的事项，按有关法律法规执行。</w:t>
      </w:r>
    </w:p>
    <w:p w14:paraId="644AB239">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四十五</w:t>
      </w:r>
      <w:r>
        <w:rPr>
          <w:rFonts w:hint="eastAsia" w:ascii="宋体" w:hAnsi="宋体" w:eastAsia="宋体" w:cs="宋体"/>
          <w:color w:val="auto"/>
          <w:sz w:val="32"/>
          <w:szCs w:val="32"/>
          <w:highlight w:val="none"/>
        </w:rPr>
        <w:t>条 本章程于</w:t>
      </w:r>
      <w:r>
        <w:rPr>
          <w:rFonts w:hint="eastAsia" w:ascii="宋体" w:hAnsi="宋体" w:eastAsia="宋体" w:cs="宋体"/>
          <w:color w:val="auto"/>
          <w:sz w:val="32"/>
          <w:szCs w:val="32"/>
          <w:highlight w:val="none"/>
          <w:lang w:val="en-US" w:eastAsia="zh-CN"/>
        </w:rPr>
        <w:t>印发之日</w:t>
      </w:r>
      <w:r>
        <w:rPr>
          <w:rFonts w:hint="eastAsia" w:ascii="宋体" w:hAnsi="宋体" w:eastAsia="宋体" w:cs="宋体"/>
          <w:color w:val="auto"/>
          <w:sz w:val="32"/>
          <w:szCs w:val="32"/>
          <w:highlight w:val="none"/>
        </w:rPr>
        <w:t>起执行。</w:t>
      </w:r>
    </w:p>
    <w:p w14:paraId="2843157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rPr>
      </w:pPr>
    </w:p>
    <w:p w14:paraId="1971450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附</w:t>
      </w:r>
      <w:r>
        <w:rPr>
          <w:rFonts w:hint="eastAsia" w:ascii="宋体" w:hAnsi="宋体" w:eastAsia="宋体" w:cs="宋体"/>
          <w:color w:val="auto"/>
          <w:sz w:val="32"/>
          <w:szCs w:val="32"/>
          <w:highlight w:val="none"/>
          <w:lang w:val="en-US" w:eastAsia="zh-CN"/>
        </w:rPr>
        <w:t>件：1.坡头区大王庙渔港港界</w:t>
      </w:r>
      <w:r>
        <w:rPr>
          <w:rFonts w:hint="eastAsia" w:ascii="宋体" w:hAnsi="宋体" w:eastAsia="宋体" w:cs="宋体"/>
          <w:color w:val="000000"/>
          <w:spacing w:val="0"/>
          <w:w w:val="100"/>
          <w:position w:val="0"/>
          <w:sz w:val="32"/>
          <w:szCs w:val="32"/>
        </w:rPr>
        <w:t>矢量</w:t>
      </w:r>
      <w:r>
        <w:rPr>
          <w:rFonts w:hint="eastAsia" w:ascii="宋体" w:hAnsi="宋体" w:eastAsia="宋体" w:cs="宋体"/>
          <w:color w:val="auto"/>
          <w:sz w:val="32"/>
          <w:szCs w:val="32"/>
          <w:highlight w:val="none"/>
          <w:lang w:val="en-US" w:eastAsia="zh-CN"/>
        </w:rPr>
        <w:t>图</w:t>
      </w:r>
    </w:p>
    <w:p w14:paraId="2931EFBA">
      <w:pPr>
        <w:keepNext w:val="0"/>
        <w:keepLines w:val="0"/>
        <w:pageBreakBefore w:val="0"/>
        <w:widowControl w:val="0"/>
        <w:kinsoku/>
        <w:wordWrap/>
        <w:overflowPunct/>
        <w:topLinePunct w:val="0"/>
        <w:autoSpaceDE/>
        <w:autoSpaceDN/>
        <w:bidi w:val="0"/>
        <w:adjustRightInd/>
        <w:snapToGrid/>
        <w:spacing w:line="570" w:lineRule="exact"/>
        <w:ind w:firstLine="1600" w:firstLineChars="500"/>
        <w:textAlignment w:val="auto"/>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2.坡头区大王庙渔港</w:t>
      </w:r>
      <w:r>
        <w:rPr>
          <w:rFonts w:hint="eastAsia" w:ascii="宋体" w:hAnsi="宋体" w:eastAsia="宋体" w:cs="宋体"/>
          <w:color w:val="000000"/>
          <w:spacing w:val="0"/>
          <w:w w:val="100"/>
          <w:position w:val="0"/>
          <w:sz w:val="32"/>
          <w:szCs w:val="32"/>
        </w:rPr>
        <w:t>功能区划图</w:t>
      </w:r>
    </w:p>
    <w:p w14:paraId="0D758E9F">
      <w:pPr>
        <w:rPr>
          <w:rFonts w:hint="eastAsia" w:ascii="宋体" w:hAnsi="宋体" w:eastAsia="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6193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8D5F1A">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8D5F1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155B2"/>
    <w:rsid w:val="0C4274CE"/>
    <w:rsid w:val="16C3120C"/>
    <w:rsid w:val="201C373B"/>
    <w:rsid w:val="21240AF9"/>
    <w:rsid w:val="21CD3FCC"/>
    <w:rsid w:val="22396826"/>
    <w:rsid w:val="27207FB4"/>
    <w:rsid w:val="2C091017"/>
    <w:rsid w:val="2D045C82"/>
    <w:rsid w:val="2D580BF8"/>
    <w:rsid w:val="2F9E5F1A"/>
    <w:rsid w:val="34655258"/>
    <w:rsid w:val="37454AD5"/>
    <w:rsid w:val="399F120C"/>
    <w:rsid w:val="39CE0946"/>
    <w:rsid w:val="3F9F55FE"/>
    <w:rsid w:val="47B265AF"/>
    <w:rsid w:val="4D412B37"/>
    <w:rsid w:val="4EB46B62"/>
    <w:rsid w:val="4FC926E8"/>
    <w:rsid w:val="50211926"/>
    <w:rsid w:val="50744D49"/>
    <w:rsid w:val="50EB0147"/>
    <w:rsid w:val="58636BCC"/>
    <w:rsid w:val="604B0A86"/>
    <w:rsid w:val="61C84EF5"/>
    <w:rsid w:val="62AA0157"/>
    <w:rsid w:val="632E2B36"/>
    <w:rsid w:val="657517C3"/>
    <w:rsid w:val="68074ED4"/>
    <w:rsid w:val="70A369B7"/>
    <w:rsid w:val="7476258E"/>
    <w:rsid w:val="76577EEE"/>
    <w:rsid w:val="781520BE"/>
    <w:rsid w:val="79C90059"/>
    <w:rsid w:val="7C1F350C"/>
    <w:rsid w:val="7EA63A70"/>
    <w:rsid w:val="7F5B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paragraph" w:customStyle="1" w:styleId="7">
    <w:name w:val="Body text|1"/>
    <w:basedOn w:val="1"/>
    <w:qFormat/>
    <w:uiPriority w:val="0"/>
    <w:pPr>
      <w:widowControl w:val="0"/>
      <w:shd w:val="clear" w:color="auto" w:fill="auto"/>
      <w:spacing w:line="418"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4877</Words>
  <Characters>5205</Characters>
  <Lines>0</Lines>
  <Paragraphs>0</Paragraphs>
  <TotalTime>0</TotalTime>
  <ScaleCrop>false</ScaleCrop>
  <LinksUpToDate>false</LinksUpToDate>
  <CharactersWithSpaces>5328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2024-12-05T01:57:00Z</dcterms:created>
  <dc:creator>Administrator</dc:creator>
  <cp:lastModifiedBy>Mou、蕾蕾</cp:lastModifiedBy>
  <dcterms:modified xsi:type="dcterms:W3CDTF">2025-02-20T02:03:23Z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2E31CBF816E243FBB7AB616958AF5372_12</vt:lpwstr>
  </property>
  <property fmtid="{D5CDD505-2E9C-101B-9397-08002B2CF9AE}" pid="4" name="KSOTemplateDocerSaveRecord">
    <vt:lpwstr>eyJoZGlkIjoiYTg1Yzc2ZjM4Y2U4MzQyZTZiYzg3ZWZhMmQwNGY1YzQiLCJ1c2VySWQiOiI0NjIzMTY5ODAifQ==</vt:lpwstr>
  </property>
</Properties>
</file>