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/>
          <w:sz w:val="44"/>
          <w:szCs w:val="44"/>
          <w:lang w:val="en-US" w:eastAsia="zh-CN"/>
        </w:rPr>
      </w:pPr>
      <w:bookmarkStart w:id="0" w:name="_Hlk93736191"/>
      <w:r>
        <w:rPr>
          <w:rFonts w:hint="eastAsia" w:ascii="宋体" w:hAnsi="宋体"/>
          <w:sz w:val="44"/>
          <w:szCs w:val="44"/>
        </w:rPr>
        <w:t>湛江市土木建筑工程公司2017年1月至2021年6月审计报告</w:t>
      </w:r>
      <w:r>
        <w:rPr>
          <w:rFonts w:hint="eastAsia" w:ascii="宋体" w:hAnsi="宋体"/>
          <w:sz w:val="44"/>
          <w:szCs w:val="44"/>
          <w:lang w:val="en-US" w:eastAsia="zh-CN"/>
        </w:rPr>
        <w:t>公告</w:t>
      </w:r>
    </w:p>
    <w:p>
      <w:pPr>
        <w:spacing w:line="500" w:lineRule="exact"/>
        <w:ind w:firstLine="3360" w:firstLineChars="1050"/>
        <w:rPr>
          <w:rFonts w:hint="eastAsia" w:ascii="仿宋_GB2312" w:eastAsia="仿宋_GB2312"/>
          <w:color w:val="000000"/>
          <w:sz w:val="32"/>
          <w:szCs w:val="32"/>
        </w:rPr>
      </w:pPr>
    </w:p>
    <w:bookmarkEnd w:id="0"/>
    <w:p>
      <w:pPr>
        <w:spacing w:line="500" w:lineRule="exact"/>
        <w:ind w:firstLine="3360" w:firstLineChars="105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70" w:lineRule="exact"/>
        <w:ind w:firstLine="624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spacing w:val="-4"/>
          <w:kern w:val="0"/>
          <w:sz w:val="32"/>
          <w:szCs w:val="32"/>
        </w:rPr>
        <w:t>根据《中华人民共和国审计法》第二十条“审计机关对国有企业的资产、负债、损益，进行审计监督”的规定</w:t>
      </w:r>
      <w:r>
        <w:rPr>
          <w:rFonts w:hint="eastAsia" w:ascii="仿宋_GB2312" w:hAnsi="仿宋" w:eastAsia="仿宋_GB2312"/>
          <w:sz w:val="32"/>
          <w:szCs w:val="32"/>
        </w:rPr>
        <w:t>以及区委审计委员会第五次会议审议通过《20</w:t>
      </w:r>
      <w:r>
        <w:rPr>
          <w:rFonts w:ascii="仿宋_GB2312" w:hAnsi="仿宋" w:eastAsia="仿宋_GB2312"/>
          <w:sz w:val="32"/>
          <w:szCs w:val="32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年至202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年审计项目计划》的要求，坡头区审计局派出审计组</w:t>
      </w:r>
      <w:r>
        <w:rPr>
          <w:rFonts w:hint="eastAsia" w:ascii="仿宋_GB2312" w:hAnsi="仿宋" w:eastAsia="仿宋_GB2312"/>
          <w:snapToGrid w:val="0"/>
          <w:spacing w:val="-4"/>
          <w:kern w:val="0"/>
          <w:sz w:val="32"/>
          <w:szCs w:val="32"/>
        </w:rPr>
        <w:t>自20</w:t>
      </w:r>
      <w:r>
        <w:rPr>
          <w:rFonts w:ascii="仿宋_GB2312" w:hAnsi="仿宋" w:eastAsia="仿宋_GB2312"/>
          <w:snapToGrid w:val="0"/>
          <w:spacing w:val="-4"/>
          <w:kern w:val="0"/>
          <w:sz w:val="32"/>
          <w:szCs w:val="32"/>
        </w:rPr>
        <w:t>2</w:t>
      </w:r>
      <w:r>
        <w:rPr>
          <w:rFonts w:hint="eastAsia" w:ascii="仿宋_GB2312" w:hAnsi="仿宋" w:eastAsia="仿宋_GB2312"/>
          <w:snapToGrid w:val="0"/>
          <w:spacing w:val="-4"/>
          <w:kern w:val="0"/>
          <w:sz w:val="32"/>
          <w:szCs w:val="32"/>
        </w:rPr>
        <w:t>1年</w:t>
      </w:r>
      <w:r>
        <w:rPr>
          <w:rFonts w:ascii="仿宋_GB2312" w:hAnsi="仿宋" w:eastAsia="仿宋_GB2312"/>
          <w:snapToGrid w:val="0"/>
          <w:spacing w:val="-4"/>
          <w:kern w:val="0"/>
          <w:sz w:val="32"/>
          <w:szCs w:val="32"/>
        </w:rPr>
        <w:t>11</w:t>
      </w:r>
      <w:r>
        <w:rPr>
          <w:rFonts w:hint="eastAsia" w:ascii="仿宋_GB2312" w:hAnsi="仿宋" w:eastAsia="仿宋_GB2312"/>
          <w:snapToGrid w:val="0"/>
          <w:spacing w:val="-4"/>
          <w:kern w:val="0"/>
          <w:sz w:val="32"/>
          <w:szCs w:val="32"/>
        </w:rPr>
        <w:t>月22日至2022年1月21日，对湛江市土木建筑工程公司2017年1月至2021年6月财务收支情况进行了</w:t>
      </w:r>
      <w:r>
        <w:rPr>
          <w:rFonts w:hint="eastAsia" w:ascii="仿宋_GB2312" w:hAnsi="仿宋" w:eastAsia="仿宋_GB2312"/>
          <w:sz w:val="32"/>
          <w:szCs w:val="32"/>
        </w:rPr>
        <w:t>就地</w:t>
      </w:r>
      <w:r>
        <w:rPr>
          <w:rFonts w:hint="eastAsia" w:ascii="仿宋_GB2312" w:hAnsi="仿宋" w:eastAsia="仿宋_GB2312"/>
          <w:snapToGrid w:val="0"/>
          <w:spacing w:val="-4"/>
          <w:kern w:val="0"/>
          <w:sz w:val="32"/>
          <w:szCs w:val="32"/>
        </w:rPr>
        <w:t>审计。湛江市土木建筑工程公司、区国资公司</w:t>
      </w:r>
      <w:r>
        <w:rPr>
          <w:rFonts w:hint="eastAsia" w:ascii="仿宋_GB2312" w:hAnsi="仿宋" w:eastAsia="仿宋_GB2312"/>
          <w:sz w:val="32"/>
          <w:szCs w:val="32"/>
        </w:rPr>
        <w:t>等有关单位积极支持配合，并对其提供的业务资料、会计资料以及其他相关材料的真实性和完整性负责。坡头区审计局的责任是依法独立实施审计并出具审计报告。</w:t>
      </w:r>
    </w:p>
    <w:p>
      <w:pPr>
        <w:spacing w:line="57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一、基本情况</w:t>
      </w:r>
    </w:p>
    <w:p>
      <w:pPr>
        <w:spacing w:line="570" w:lineRule="exact"/>
        <w:ind w:firstLine="643" w:firstLineChars="200"/>
        <w:rPr>
          <w:rFonts w:hint="eastAsia" w:ascii="楷体_GB2312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（</w:t>
      </w: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一）公司基本情况</w:t>
      </w:r>
    </w:p>
    <w:p>
      <w:pPr>
        <w:spacing w:line="57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湛江市土木建筑工程公司（以下简称“土木建筑公司”）于1987年6月注册成立，企业性质为全民所有制企业（非公司制国有独资企业）。2021年6月，张学武被免去总经理职务，现由庞剑毅担任土木建筑公司总经理。2021年9月，土木建筑公司改制为国有独资有限公司（改称湛江市土木建筑工程有限公司），注册资本为4千万元，经营范围主要包括房屋建筑工程施工总承包贰级内的市政工程、水利水电工程、港口与航道工程、装修装饰工程，房地产开发经营、建筑材料等。截至2021年6月，土木建筑公司共有分公司（营业分支机构）4个，分别是广西分公司、北海分公司、南宁分公司、南油分公司。公司现有总经理1人、副总经理2人、员工9人，设有行政科、财务科、经营科、质安科共计4个部门。</w:t>
      </w:r>
    </w:p>
    <w:p>
      <w:pPr>
        <w:spacing w:line="570" w:lineRule="exact"/>
        <w:ind w:firstLine="643" w:firstLineChars="200"/>
        <w:rPr>
          <w:rFonts w:ascii="楷体_GB2312" w:hAnsi="黑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color w:val="000000"/>
          <w:sz w:val="32"/>
          <w:szCs w:val="32"/>
        </w:rPr>
        <w:t>（二）经营情况</w:t>
      </w:r>
    </w:p>
    <w:p>
      <w:pPr>
        <w:spacing w:line="570" w:lineRule="exact"/>
        <w:ind w:left="-141" w:leftChars="-67" w:firstLine="643" w:firstLineChars="200"/>
        <w:rPr>
          <w:rFonts w:ascii="仿宋_GB2312" w:hAnsi="黑体" w:eastAsia="仿宋_GB2312"/>
          <w:b/>
          <w:bCs/>
          <w:color w:val="000000"/>
          <w:sz w:val="32"/>
          <w:szCs w:val="32"/>
        </w:rPr>
      </w:pPr>
      <w:bookmarkStart w:id="1" w:name="_Hlk93737242"/>
      <w:r>
        <w:rPr>
          <w:rFonts w:hint="eastAsia" w:ascii="仿宋_GB2312" w:hAnsi="黑体" w:eastAsia="仿宋_GB2312"/>
          <w:b/>
          <w:bCs/>
          <w:color w:val="000000"/>
          <w:sz w:val="32"/>
          <w:szCs w:val="32"/>
        </w:rPr>
        <w:t>1.资产负债情况</w:t>
      </w:r>
    </w:p>
    <w:bookmarkEnd w:id="1"/>
    <w:p>
      <w:pPr>
        <w:spacing w:line="570" w:lineRule="exact"/>
        <w:ind w:left="-141" w:leftChars="-67"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截至2017年12月31日，土木建筑公司资产负债表反映，资产合计5185535.45元，负债合计6910799.49元，所有者权益合计-1725264.04元。</w:t>
      </w:r>
    </w:p>
    <w:p>
      <w:pPr>
        <w:spacing w:line="570" w:lineRule="exact"/>
        <w:ind w:left="-141" w:leftChars="-67"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截至2018年12月31日，土木建筑公司资产负债表反映，资产合计5408469.44元，负债合计7184096.77元，所有者权益合计-1775627.33元。</w:t>
      </w:r>
    </w:p>
    <w:p>
      <w:pPr>
        <w:spacing w:line="570" w:lineRule="exact"/>
        <w:ind w:left="-141" w:leftChars="-67"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截至2019年12月31日，土木建筑公司资产负债表反映，资产合计3188985.41元，负债合计5579071.14元，所有者权益合计-2390085.73元。</w:t>
      </w:r>
    </w:p>
    <w:p>
      <w:pPr>
        <w:spacing w:line="570" w:lineRule="exact"/>
        <w:ind w:left="-141" w:leftChars="-67"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截至2020年12月31日，土木建筑公司资产负债表反映，资产合计6013194.90元，负债合计12284762.29元，所有者权益合计-6271567.39元。</w:t>
      </w:r>
    </w:p>
    <w:p>
      <w:pPr>
        <w:spacing w:line="570" w:lineRule="exact"/>
        <w:ind w:left="-141" w:leftChars="-67" w:firstLine="643" w:firstLineChars="200"/>
        <w:rPr>
          <w:rFonts w:ascii="仿宋_GB2312" w:hAnsi="黑体" w:eastAsia="仿宋_GB2312"/>
          <w:b/>
          <w:bCs/>
          <w:color w:val="000000"/>
          <w:sz w:val="32"/>
          <w:szCs w:val="32"/>
        </w:rPr>
      </w:pPr>
      <w:r>
        <w:rPr>
          <w:rFonts w:ascii="仿宋_GB2312" w:hAnsi="黑体" w:eastAsia="仿宋_GB2312"/>
          <w:b/>
          <w:bCs/>
          <w:color w:val="000000"/>
          <w:sz w:val="32"/>
          <w:szCs w:val="32"/>
        </w:rPr>
        <w:t>2</w:t>
      </w:r>
      <w:r>
        <w:rPr>
          <w:rFonts w:hint="eastAsia" w:ascii="仿宋_GB2312" w:hAnsi="黑体" w:eastAsia="仿宋_GB2312"/>
          <w:b/>
          <w:bCs/>
          <w:color w:val="000000"/>
          <w:sz w:val="32"/>
          <w:szCs w:val="32"/>
        </w:rPr>
        <w:t>.经营成果情况</w:t>
      </w:r>
    </w:p>
    <w:p>
      <w:pPr>
        <w:spacing w:line="570" w:lineRule="exact"/>
        <w:ind w:left="-141" w:leftChars="-67"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截至2017年12月31日，土木建筑公司利润表反映：营业收入154332333.49元，营业成本150765263.52元，净利润亏损112373.34元。</w:t>
      </w:r>
    </w:p>
    <w:p>
      <w:pPr>
        <w:spacing w:line="570" w:lineRule="exact"/>
        <w:ind w:left="-141" w:leftChars="-67"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截至2018年12月31日，土木建筑公司利润表反映：营业收入56843584.49元，营业成本55131371.99元，净利润亏损50363.29元。</w:t>
      </w:r>
    </w:p>
    <w:p>
      <w:pPr>
        <w:spacing w:line="570" w:lineRule="exact"/>
        <w:ind w:left="-141" w:leftChars="-67"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截至2019年12月31日，土木建筑公司利润表反映：营业收入50939703.99元，营业成本49554465.20元，净利润亏损614458.40元。</w:t>
      </w:r>
    </w:p>
    <w:p>
      <w:pPr>
        <w:spacing w:line="570" w:lineRule="exact"/>
        <w:ind w:left="-141" w:leftChars="-67"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截至2020年12月31日，土木建筑公司利润表反映：营业收入87913587.43元，营业成本85358964.29元，净利润亏损3881481.66元</w:t>
      </w:r>
      <w:r>
        <w:rPr>
          <w:rFonts w:hint="eastAsia" w:ascii="仿宋_GB2312" w:hAnsi="仿宋" w:eastAsia="仿宋_GB2312" w:cs="仿宋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黑体" w:hAnsi="黑体" w:eastAsia="黑体"/>
          <w:bCs/>
          <w:snapToGrid w:val="0"/>
          <w:spacing w:val="-4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spacing w:val="-4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bCs/>
          <w:snapToGrid w:val="0"/>
          <w:spacing w:val="-4"/>
          <w:kern w:val="0"/>
          <w:sz w:val="32"/>
          <w:szCs w:val="32"/>
        </w:rPr>
        <w:t>、审计发现的主要问题及处理处罚意见</w:t>
      </w:r>
    </w:p>
    <w:p>
      <w:pPr>
        <w:spacing w:line="570" w:lineRule="exact"/>
        <w:ind w:firstLine="643" w:firstLineChars="200"/>
        <w:rPr>
          <w:rFonts w:hint="eastAsia" w:ascii="楷体_GB2312" w:hAnsi="黑体" w:eastAsia="楷体_GB2312"/>
          <w:b/>
          <w:color w:val="000000"/>
          <w:sz w:val="32"/>
          <w:szCs w:val="32"/>
        </w:rPr>
      </w:pPr>
      <w:bookmarkStart w:id="2" w:name="_Hlk93745586"/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（一）</w:t>
      </w:r>
      <w:r>
        <w:rPr>
          <w:rStyle w:val="6"/>
          <w:rFonts w:hint="eastAsia" w:ascii="楷体_GB2312" w:hAnsi="黑体" w:eastAsia="楷体_GB2312"/>
          <w:bCs w:val="0"/>
          <w:color w:val="000000"/>
          <w:sz w:val="32"/>
          <w:szCs w:val="32"/>
        </w:rPr>
        <w:t>贯彻落实“三重一大”决策制度方面</w:t>
      </w:r>
      <w:r>
        <w:rPr>
          <w:rFonts w:hint="eastAsia" w:ascii="楷体_GB2312" w:hAnsi="宋体" w:eastAsia="楷体_GB2312" w:cs="宋体"/>
          <w:b/>
          <w:color w:val="000000"/>
          <w:sz w:val="32"/>
          <w:szCs w:val="32"/>
        </w:rPr>
        <w:t> </w:t>
      </w:r>
    </w:p>
    <w:p>
      <w:pPr>
        <w:spacing w:line="570" w:lineRule="exact"/>
        <w:ind w:firstLine="640" w:firstLineChars="200"/>
        <w:rPr>
          <w:rFonts w:hint="eastAsia" w:ascii="仿宋_GB2312" w:hAnsi="黑体" w:eastAsia="仿宋_GB2312" w:cs="宋体"/>
          <w:b w:val="0"/>
          <w:bCs w:val="0"/>
          <w:sz w:val="32"/>
          <w:szCs w:val="32"/>
        </w:rPr>
      </w:pPr>
      <w:bookmarkStart w:id="3" w:name="_Hlk93736469"/>
      <w:bookmarkStart w:id="4" w:name="_Hlk93745247"/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</w:rPr>
        <w:t>1.</w:t>
      </w:r>
      <w:bookmarkEnd w:id="3"/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</w:rPr>
        <w:t>未按规定建立“三重一大”决策制度及议事规则。</w:t>
      </w:r>
    </w:p>
    <w:bookmarkEnd w:id="2"/>
    <w:bookmarkEnd w:id="4"/>
    <w:p>
      <w:pPr>
        <w:spacing w:line="570" w:lineRule="exact"/>
        <w:ind w:firstLine="640" w:firstLineChars="200"/>
        <w:rPr>
          <w:rFonts w:hint="eastAsia" w:ascii="仿宋_GB2312" w:hAnsi="黑体" w:eastAsia="仿宋_GB2312" w:cs="宋体"/>
          <w:b w:val="0"/>
          <w:bCs w:val="0"/>
          <w:sz w:val="32"/>
          <w:szCs w:val="32"/>
        </w:rPr>
      </w:pP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</w:rPr>
        <w:t>2.张学武私自决定下属分支机构经营方式及承包费。</w:t>
      </w:r>
    </w:p>
    <w:p>
      <w:pPr>
        <w:spacing w:line="570" w:lineRule="exact"/>
        <w:ind w:firstLine="640" w:firstLineChars="200"/>
        <w:rPr>
          <w:rFonts w:hint="eastAsia" w:ascii="仿宋_GB2312" w:hAnsi="黑体" w:eastAsia="仿宋_GB2312" w:cs="宋体"/>
          <w:b w:val="0"/>
          <w:bCs w:val="0"/>
          <w:sz w:val="32"/>
          <w:szCs w:val="32"/>
        </w:rPr>
      </w:pP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</w:rPr>
        <w:t>3.重大人事任免及调整未经集体决策，且手续文件缺失。</w:t>
      </w:r>
    </w:p>
    <w:p>
      <w:pPr>
        <w:spacing w:line="570" w:lineRule="exact"/>
        <w:ind w:firstLine="643" w:firstLineChars="200"/>
        <w:rPr>
          <w:rFonts w:hint="eastAsia"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（二）内部管理</w:t>
      </w:r>
      <w:r>
        <w:rPr>
          <w:rStyle w:val="6"/>
          <w:rFonts w:hint="eastAsia" w:ascii="楷体_GB2312" w:hAnsi="黑体" w:eastAsia="楷体_GB2312"/>
          <w:bCs w:val="0"/>
          <w:color w:val="000000"/>
          <w:sz w:val="32"/>
          <w:szCs w:val="32"/>
        </w:rPr>
        <w:t>方面</w:t>
      </w:r>
      <w:r>
        <w:rPr>
          <w:rFonts w:hint="eastAsia" w:ascii="楷体_GB2312" w:hAnsi="宋体" w:eastAsia="楷体_GB2312" w:cs="宋体"/>
          <w:b/>
          <w:color w:val="000000"/>
          <w:sz w:val="32"/>
          <w:szCs w:val="32"/>
        </w:rPr>
        <w:t> </w:t>
      </w:r>
    </w:p>
    <w:p>
      <w:pPr>
        <w:spacing w:line="570" w:lineRule="exact"/>
        <w:ind w:firstLine="640" w:firstLineChars="200"/>
        <w:rPr>
          <w:rFonts w:hint="eastAsia" w:ascii="仿宋_GB2312" w:hAnsi="黑体" w:eastAsia="仿宋_GB2312" w:cs="宋体"/>
          <w:b w:val="0"/>
          <w:bCs w:val="0"/>
          <w:sz w:val="32"/>
          <w:szCs w:val="32"/>
        </w:rPr>
      </w:pPr>
      <w:bookmarkStart w:id="5" w:name="_Hlk93746166"/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</w:rPr>
        <w:t>1.违规“挂靠”经营，存在法律风险。</w:t>
      </w:r>
    </w:p>
    <w:bookmarkEnd w:id="5"/>
    <w:p>
      <w:pPr>
        <w:spacing w:line="570" w:lineRule="exact"/>
        <w:ind w:firstLine="640" w:firstLineChars="200"/>
        <w:rPr>
          <w:rFonts w:hint="eastAsia" w:ascii="仿宋_GB2312" w:hAnsi="黑体" w:eastAsia="仿宋_GB2312" w:cs="宋体"/>
          <w:b w:val="0"/>
          <w:bCs w:val="0"/>
          <w:sz w:val="32"/>
          <w:szCs w:val="32"/>
        </w:rPr>
      </w:pPr>
      <w:bookmarkStart w:id="6" w:name="_Hlk94093289"/>
      <w:r>
        <w:rPr>
          <w:rFonts w:ascii="仿宋_GB2312" w:hAnsi="黑体" w:eastAsia="仿宋_GB2312"/>
          <w:b w:val="0"/>
          <w:bCs w:val="0"/>
          <w:color w:val="000000"/>
          <w:sz w:val="32"/>
          <w:szCs w:val="32"/>
        </w:rPr>
        <w:t>2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</w:rPr>
        <w:t>.未清理挂证人员，依赖“挂证”方式承揽业务。</w:t>
      </w:r>
    </w:p>
    <w:bookmarkEnd w:id="6"/>
    <w:p>
      <w:pPr>
        <w:spacing w:line="570" w:lineRule="exact"/>
        <w:ind w:firstLine="640" w:firstLineChars="200"/>
        <w:rPr>
          <w:rFonts w:hint="eastAsia" w:ascii="仿宋_GB2312" w:hAnsi="黑体" w:eastAsia="仿宋_GB2312" w:cs="宋体"/>
          <w:b w:val="0"/>
          <w:bCs w:val="0"/>
          <w:sz w:val="32"/>
          <w:szCs w:val="32"/>
        </w:rPr>
      </w:pPr>
      <w:r>
        <w:rPr>
          <w:rFonts w:ascii="仿宋_GB2312" w:hAnsi="黑体" w:eastAsia="仿宋_GB2312"/>
          <w:b w:val="0"/>
          <w:bCs w:val="0"/>
          <w:color w:val="000000"/>
          <w:sz w:val="32"/>
          <w:szCs w:val="32"/>
        </w:rPr>
        <w:t>3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</w:rPr>
        <w:t>.长期拖欠职工工资，涉及金额</w:t>
      </w:r>
      <w:r>
        <w:rPr>
          <w:rFonts w:ascii="仿宋_GB2312" w:hAnsi="黑体" w:eastAsia="仿宋_GB2312"/>
          <w:b w:val="0"/>
          <w:bCs w:val="0"/>
          <w:color w:val="000000"/>
          <w:sz w:val="32"/>
          <w:szCs w:val="32"/>
        </w:rPr>
        <w:t>3184219.07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</w:rPr>
        <w:t>元。</w:t>
      </w:r>
    </w:p>
    <w:p>
      <w:pPr>
        <w:spacing w:line="570" w:lineRule="exact"/>
        <w:ind w:firstLine="640" w:firstLineChars="200"/>
        <w:rPr>
          <w:rFonts w:hint="eastAsia" w:ascii="仿宋_GB2312" w:hAnsi="黑体" w:eastAsia="仿宋_GB2312" w:cs="宋体"/>
          <w:b w:val="0"/>
          <w:bCs w:val="0"/>
          <w:sz w:val="32"/>
          <w:szCs w:val="32"/>
        </w:rPr>
      </w:pPr>
      <w:r>
        <w:rPr>
          <w:rFonts w:ascii="仿宋_GB2312" w:hAnsi="黑体" w:eastAsia="仿宋_GB2312"/>
          <w:b w:val="0"/>
          <w:bCs w:val="0"/>
          <w:color w:val="000000"/>
          <w:sz w:val="32"/>
          <w:szCs w:val="32"/>
        </w:rPr>
        <w:t>4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</w:rPr>
        <w:t>.用工管理不到位，未市场化公开用工。</w:t>
      </w:r>
    </w:p>
    <w:p>
      <w:pPr>
        <w:spacing w:line="570" w:lineRule="exact"/>
        <w:ind w:firstLine="640" w:firstLineChars="200"/>
        <w:rPr>
          <w:rFonts w:hint="eastAsia" w:ascii="仿宋_GB2312" w:hAnsi="黑体" w:eastAsia="仿宋_GB2312" w:cs="宋体"/>
          <w:b w:val="0"/>
          <w:bCs w:val="0"/>
          <w:sz w:val="32"/>
          <w:szCs w:val="32"/>
        </w:rPr>
      </w:pPr>
      <w:r>
        <w:rPr>
          <w:rFonts w:ascii="仿宋_GB2312" w:hAnsi="黑体" w:eastAsia="仿宋_GB2312"/>
          <w:b w:val="0"/>
          <w:bCs w:val="0"/>
          <w:color w:val="000000"/>
          <w:sz w:val="32"/>
          <w:szCs w:val="32"/>
        </w:rPr>
        <w:t>5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</w:rPr>
        <w:t>.长期未按规定定期公开企业法定公开内容。</w:t>
      </w:r>
    </w:p>
    <w:p>
      <w:pPr>
        <w:spacing w:line="570" w:lineRule="exact"/>
        <w:ind w:firstLine="640" w:firstLineChars="200"/>
        <w:rPr>
          <w:rFonts w:hint="eastAsia" w:ascii="仿宋_GB2312" w:hAnsi="黑体" w:eastAsia="仿宋_GB2312" w:cs="宋体"/>
          <w:b w:val="0"/>
          <w:bCs w:val="0"/>
          <w:sz w:val="32"/>
          <w:szCs w:val="32"/>
        </w:rPr>
      </w:pPr>
      <w:bookmarkStart w:id="7" w:name="_Hlk93949441"/>
      <w:r>
        <w:rPr>
          <w:rFonts w:ascii="仿宋_GB2312" w:hAnsi="黑体" w:eastAsia="仿宋_GB2312"/>
          <w:b w:val="0"/>
          <w:bCs w:val="0"/>
          <w:color w:val="000000"/>
          <w:sz w:val="32"/>
          <w:szCs w:val="32"/>
        </w:rPr>
        <w:t>6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</w:rPr>
        <w:t>.合同管理混乱，存在合同监管风险。</w:t>
      </w:r>
    </w:p>
    <w:bookmarkEnd w:id="7"/>
    <w:p>
      <w:pPr>
        <w:spacing w:line="570" w:lineRule="exact"/>
        <w:ind w:firstLine="640" w:firstLineChars="200"/>
        <w:rPr>
          <w:rFonts w:hint="eastAsia" w:ascii="仿宋_GB2312" w:hAnsi="黑体" w:eastAsia="仿宋_GB2312" w:cs="宋体"/>
          <w:b w:val="0"/>
          <w:bCs w:val="0"/>
          <w:sz w:val="32"/>
          <w:szCs w:val="32"/>
        </w:rPr>
      </w:pPr>
      <w:r>
        <w:rPr>
          <w:rFonts w:ascii="仿宋_GB2312" w:hAnsi="黑体" w:eastAsia="仿宋_GB2312"/>
          <w:b w:val="0"/>
          <w:bCs w:val="0"/>
          <w:color w:val="000000"/>
          <w:sz w:val="32"/>
          <w:szCs w:val="32"/>
        </w:rPr>
        <w:t>7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</w:rPr>
        <w:t>.未实施全面预算管理。</w:t>
      </w:r>
    </w:p>
    <w:p>
      <w:pPr>
        <w:spacing w:line="570" w:lineRule="exact"/>
        <w:ind w:firstLine="643" w:firstLineChars="200"/>
        <w:rPr>
          <w:rFonts w:hint="eastAsia"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（三）</w:t>
      </w:r>
      <w:r>
        <w:rPr>
          <w:rStyle w:val="6"/>
          <w:rFonts w:hint="eastAsia" w:ascii="楷体_GB2312" w:hAnsi="黑体" w:eastAsia="楷体_GB2312"/>
          <w:bCs w:val="0"/>
          <w:color w:val="000000"/>
          <w:sz w:val="32"/>
          <w:szCs w:val="32"/>
        </w:rPr>
        <w:t>党风廉政建设方面</w:t>
      </w:r>
      <w:r>
        <w:rPr>
          <w:rFonts w:hint="eastAsia" w:ascii="楷体_GB2312" w:hAnsi="宋体" w:eastAsia="楷体_GB2312" w:cs="宋体"/>
          <w:b/>
          <w:color w:val="000000"/>
          <w:sz w:val="32"/>
          <w:szCs w:val="32"/>
        </w:rPr>
        <w:t> </w:t>
      </w:r>
    </w:p>
    <w:p>
      <w:pPr>
        <w:spacing w:line="570" w:lineRule="exact"/>
        <w:ind w:firstLine="640" w:firstLineChars="200"/>
        <w:rPr>
          <w:rFonts w:hint="eastAsia" w:ascii="仿宋_GB2312" w:hAnsi="黑体" w:eastAsia="仿宋_GB2312" w:cs="宋体"/>
          <w:b w:val="0"/>
          <w:bCs w:val="0"/>
          <w:sz w:val="32"/>
          <w:szCs w:val="32"/>
        </w:rPr>
      </w:pP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</w:rPr>
        <w:t>经理层长期未按规定报告个人事项。</w:t>
      </w:r>
    </w:p>
    <w:p>
      <w:pPr>
        <w:spacing w:line="570" w:lineRule="exact"/>
        <w:ind w:firstLine="643" w:firstLineChars="200"/>
        <w:rPr>
          <w:rFonts w:hint="eastAsia" w:ascii="楷体_GB2312" w:hAnsi="黑体" w:eastAsia="楷体_GB2312"/>
          <w:b/>
          <w:color w:val="000000"/>
          <w:sz w:val="32"/>
          <w:szCs w:val="32"/>
        </w:rPr>
      </w:pPr>
      <w:bookmarkStart w:id="8" w:name="_Hlk94041079"/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（四）</w:t>
      </w:r>
      <w:r>
        <w:rPr>
          <w:rStyle w:val="6"/>
          <w:rFonts w:hint="eastAsia" w:ascii="楷体_GB2312" w:hAnsi="黑体" w:eastAsia="楷体_GB2312"/>
          <w:bCs w:val="0"/>
          <w:color w:val="000000"/>
          <w:sz w:val="32"/>
          <w:szCs w:val="32"/>
        </w:rPr>
        <w:t>资产管理方面</w:t>
      </w:r>
      <w:r>
        <w:rPr>
          <w:rFonts w:hint="eastAsia" w:ascii="楷体_GB2312" w:hAnsi="宋体" w:eastAsia="楷体_GB2312" w:cs="宋体"/>
          <w:b/>
          <w:color w:val="000000"/>
          <w:sz w:val="32"/>
          <w:szCs w:val="32"/>
        </w:rPr>
        <w:t> </w:t>
      </w:r>
    </w:p>
    <w:bookmarkEnd w:id="8"/>
    <w:p>
      <w:pPr>
        <w:spacing w:line="570" w:lineRule="exact"/>
        <w:ind w:firstLine="640" w:firstLineChars="20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</w:rPr>
        <w:t>1.</w:t>
      </w:r>
      <w:r>
        <w:rPr>
          <w:rFonts w:hint="eastAsia" w:ascii="仿宋_GB2312" w:hAnsi="黑体" w:eastAsia="仿宋_GB2312" w:cs="宋体"/>
          <w:b w:val="0"/>
          <w:bCs w:val="0"/>
          <w:sz w:val="32"/>
          <w:szCs w:val="32"/>
        </w:rPr>
        <w:t>未按规定定期开展资产清查。</w:t>
      </w:r>
      <w:bookmarkStart w:id="9" w:name="_Hlk94029140"/>
    </w:p>
    <w:bookmarkEnd w:id="9"/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黑体" w:eastAsia="仿宋_GB2312"/>
          <w:b w:val="0"/>
          <w:bCs w:val="0"/>
          <w:snapToGrid w:val="0"/>
          <w:spacing w:val="-4"/>
          <w:kern w:val="0"/>
          <w:sz w:val="32"/>
          <w:szCs w:val="32"/>
        </w:rPr>
      </w:pPr>
      <w:bookmarkStart w:id="10" w:name="_Hlk93749846"/>
      <w:r>
        <w:rPr>
          <w:rFonts w:ascii="仿宋_GB2312" w:hAnsi="黑体" w:eastAsia="仿宋_GB2312" w:cs="宋体"/>
          <w:b w:val="0"/>
          <w:bCs w:val="0"/>
          <w:sz w:val="32"/>
          <w:szCs w:val="32"/>
        </w:rPr>
        <w:t>2.</w:t>
      </w:r>
      <w:r>
        <w:rPr>
          <w:rFonts w:hint="eastAsia" w:ascii="仿宋_GB2312" w:hAnsi="黑体" w:eastAsia="仿宋_GB2312" w:cs="宋体"/>
          <w:b w:val="0"/>
          <w:bCs w:val="0"/>
          <w:sz w:val="32"/>
          <w:szCs w:val="32"/>
        </w:rPr>
        <w:t>以前年度</w:t>
      </w:r>
      <w:r>
        <w:rPr>
          <w:rFonts w:hint="eastAsia" w:ascii="仿宋_GB2312" w:hAnsi="黑体" w:eastAsia="仿宋_GB2312"/>
          <w:b w:val="0"/>
          <w:bCs w:val="0"/>
          <w:snapToGrid w:val="0"/>
          <w:spacing w:val="-4"/>
          <w:kern w:val="0"/>
          <w:sz w:val="32"/>
          <w:szCs w:val="32"/>
        </w:rPr>
        <w:t>房产权证不齐且有2处共建房产未在资产清查整治中如实上报</w:t>
      </w:r>
    </w:p>
    <w:bookmarkEnd w:id="10"/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黑体" w:eastAsia="仿宋_GB2312" w:cs="宋体"/>
          <w:b w:val="0"/>
          <w:bCs w:val="0"/>
          <w:sz w:val="32"/>
          <w:szCs w:val="32"/>
        </w:rPr>
      </w:pPr>
      <w:r>
        <w:rPr>
          <w:rFonts w:hint="eastAsia" w:ascii="仿宋_GB2312" w:hAnsi="黑体" w:eastAsia="仿宋_GB2312" w:cs="宋体"/>
          <w:b w:val="0"/>
          <w:bCs w:val="0"/>
          <w:sz w:val="32"/>
          <w:szCs w:val="32"/>
        </w:rPr>
        <w:t>3</w:t>
      </w:r>
      <w:r>
        <w:rPr>
          <w:rFonts w:ascii="仿宋_GB2312" w:hAnsi="黑体" w:eastAsia="仿宋_GB2312" w:cs="宋体"/>
          <w:b w:val="0"/>
          <w:bCs w:val="0"/>
          <w:sz w:val="32"/>
          <w:szCs w:val="32"/>
        </w:rPr>
        <w:t>.</w:t>
      </w:r>
      <w:r>
        <w:rPr>
          <w:rFonts w:hint="eastAsia" w:ascii="仿宋_GB2312" w:hAnsi="黑体" w:eastAsia="仿宋_GB2312" w:cs="宋体"/>
          <w:b w:val="0"/>
          <w:bCs w:val="0"/>
          <w:sz w:val="32"/>
          <w:szCs w:val="32"/>
        </w:rPr>
        <w:t>长期未办理产权登记</w:t>
      </w:r>
      <w:r>
        <w:rPr>
          <w:rFonts w:hint="eastAsia" w:ascii="仿宋_GB2312" w:hAnsi="黑体" w:eastAsia="仿宋_GB2312"/>
          <w:b w:val="0"/>
          <w:bCs w:val="0"/>
          <w:snapToGrid w:val="0"/>
          <w:spacing w:val="-4"/>
          <w:kern w:val="0"/>
          <w:sz w:val="32"/>
          <w:szCs w:val="32"/>
        </w:rPr>
        <w:t>。</w:t>
      </w:r>
    </w:p>
    <w:p>
      <w:pPr>
        <w:spacing w:line="570" w:lineRule="exact"/>
        <w:ind w:firstLine="643" w:firstLineChars="200"/>
        <w:rPr>
          <w:rFonts w:hint="eastAsia"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（五）</w:t>
      </w:r>
      <w:r>
        <w:rPr>
          <w:rStyle w:val="6"/>
          <w:rFonts w:hint="eastAsia" w:ascii="楷体_GB2312" w:hAnsi="黑体" w:eastAsia="楷体_GB2312"/>
          <w:bCs w:val="0"/>
          <w:color w:val="000000"/>
          <w:sz w:val="32"/>
          <w:szCs w:val="32"/>
        </w:rPr>
        <w:t>财务风险防范方面</w:t>
      </w:r>
      <w:r>
        <w:rPr>
          <w:rFonts w:hint="eastAsia" w:ascii="楷体_GB2312" w:hAnsi="宋体" w:eastAsia="楷体_GB2312" w:cs="宋体"/>
          <w:b/>
          <w:color w:val="000000"/>
          <w:sz w:val="32"/>
          <w:szCs w:val="32"/>
        </w:rPr>
        <w:t> </w:t>
      </w:r>
    </w:p>
    <w:p>
      <w:pPr>
        <w:spacing w:line="570" w:lineRule="exact"/>
        <w:ind w:firstLine="640" w:firstLineChars="20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</w:rPr>
        <w:t>1.未及时收取管理费，涉及金额1</w:t>
      </w:r>
      <w:r>
        <w:rPr>
          <w:rFonts w:ascii="仿宋_GB2312" w:hAnsi="黑体" w:eastAsia="仿宋_GB2312"/>
          <w:b w:val="0"/>
          <w:bCs w:val="0"/>
          <w:color w:val="000000"/>
          <w:sz w:val="32"/>
          <w:szCs w:val="32"/>
        </w:rPr>
        <w:t>3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</w:rPr>
        <w:t>万元。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黑体" w:eastAsia="仿宋_GB2312" w:cs="宋体"/>
          <w:b w:val="0"/>
          <w:bCs w:val="0"/>
          <w:sz w:val="32"/>
          <w:szCs w:val="32"/>
        </w:rPr>
      </w:pPr>
      <w:r>
        <w:rPr>
          <w:rFonts w:ascii="仿宋_GB2312" w:hAnsi="黑体" w:eastAsia="仿宋_GB2312" w:cs="宋体"/>
          <w:b w:val="0"/>
          <w:bCs w:val="0"/>
          <w:sz w:val="32"/>
          <w:szCs w:val="32"/>
        </w:rPr>
        <w:t>2</w:t>
      </w:r>
      <w:r>
        <w:rPr>
          <w:rFonts w:hint="eastAsia" w:ascii="仿宋_GB2312" w:hAnsi="黑体" w:eastAsia="仿宋_GB2312" w:cs="宋体"/>
          <w:b w:val="0"/>
          <w:bCs w:val="0"/>
          <w:sz w:val="32"/>
          <w:szCs w:val="32"/>
        </w:rPr>
        <w:t>.</w:t>
      </w:r>
      <w:r>
        <w:rPr>
          <w:rFonts w:hint="eastAsia" w:ascii="仿宋_GB2312" w:hAnsi="黑体" w:eastAsia="仿宋_GB2312"/>
          <w:b w:val="0"/>
          <w:bCs w:val="0"/>
          <w:snapToGrid w:val="0"/>
          <w:spacing w:val="-4"/>
          <w:kern w:val="0"/>
          <w:sz w:val="32"/>
          <w:szCs w:val="32"/>
        </w:rPr>
        <w:t>未及时追回借款，涉及金额150万元。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黑体" w:eastAsia="仿宋_GB2312" w:cs="宋体"/>
          <w:b w:val="0"/>
          <w:bCs w:val="0"/>
          <w:sz w:val="32"/>
          <w:szCs w:val="32"/>
        </w:rPr>
      </w:pPr>
      <w:r>
        <w:rPr>
          <w:rFonts w:ascii="仿宋_GB2312" w:hAnsi="黑体" w:eastAsia="仿宋_GB2312" w:cs="宋体"/>
          <w:b w:val="0"/>
          <w:bCs w:val="0"/>
          <w:sz w:val="32"/>
          <w:szCs w:val="32"/>
        </w:rPr>
        <w:t>3</w:t>
      </w:r>
      <w:r>
        <w:rPr>
          <w:rFonts w:hint="eastAsia" w:ascii="仿宋_GB2312" w:hAnsi="黑体" w:eastAsia="仿宋_GB2312" w:cs="宋体"/>
          <w:b w:val="0"/>
          <w:bCs w:val="0"/>
          <w:sz w:val="32"/>
          <w:szCs w:val="32"/>
        </w:rPr>
        <w:t>.工会收支</w:t>
      </w:r>
      <w:r>
        <w:rPr>
          <w:rFonts w:hint="eastAsia" w:ascii="仿宋_GB2312" w:hAnsi="黑体" w:eastAsia="仿宋_GB2312"/>
          <w:b w:val="0"/>
          <w:bCs w:val="0"/>
          <w:snapToGrid w:val="0"/>
          <w:spacing w:val="-4"/>
          <w:kern w:val="0"/>
          <w:sz w:val="32"/>
          <w:szCs w:val="32"/>
        </w:rPr>
        <w:t>未按规定建账核算。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黑体" w:eastAsia="仿宋_GB2312" w:cs="宋体"/>
          <w:b w:val="0"/>
          <w:bCs w:val="0"/>
          <w:sz w:val="32"/>
          <w:szCs w:val="32"/>
        </w:rPr>
      </w:pPr>
      <w:bookmarkStart w:id="11" w:name="_Hlk93948689"/>
      <w:r>
        <w:rPr>
          <w:rFonts w:ascii="仿宋_GB2312" w:hAnsi="黑体" w:eastAsia="仿宋_GB2312" w:cs="宋体"/>
          <w:b w:val="0"/>
          <w:bCs w:val="0"/>
          <w:sz w:val="32"/>
          <w:szCs w:val="32"/>
        </w:rPr>
        <w:t>4</w:t>
      </w:r>
      <w:r>
        <w:rPr>
          <w:rFonts w:hint="eastAsia" w:ascii="仿宋_GB2312" w:hAnsi="黑体" w:eastAsia="仿宋_GB2312" w:cs="宋体"/>
          <w:b w:val="0"/>
          <w:bCs w:val="0"/>
          <w:sz w:val="32"/>
          <w:szCs w:val="32"/>
        </w:rPr>
        <w:t>.</w:t>
      </w:r>
      <w:r>
        <w:rPr>
          <w:rFonts w:hint="eastAsia" w:ascii="仿宋_GB2312" w:hAnsi="黑体" w:eastAsia="仿宋_GB2312"/>
          <w:b w:val="0"/>
          <w:bCs w:val="0"/>
          <w:snapToGrid w:val="0"/>
          <w:spacing w:val="-4"/>
          <w:kern w:val="0"/>
          <w:sz w:val="32"/>
          <w:szCs w:val="32"/>
        </w:rPr>
        <w:t>未按规定设置现金日记账账簿。</w:t>
      </w:r>
    </w:p>
    <w:bookmarkEnd w:id="11"/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黑体" w:eastAsia="仿宋_GB2312" w:cs="宋体"/>
          <w:b w:val="0"/>
          <w:bCs w:val="0"/>
          <w:sz w:val="32"/>
          <w:szCs w:val="32"/>
        </w:rPr>
      </w:pPr>
      <w:r>
        <w:rPr>
          <w:rFonts w:ascii="仿宋_GB2312" w:hAnsi="黑体" w:eastAsia="仿宋_GB2312" w:cs="宋体"/>
          <w:b w:val="0"/>
          <w:bCs w:val="0"/>
          <w:sz w:val="32"/>
          <w:szCs w:val="32"/>
        </w:rPr>
        <w:t>5</w:t>
      </w:r>
      <w:r>
        <w:rPr>
          <w:rFonts w:hint="eastAsia" w:ascii="仿宋_GB2312" w:hAnsi="黑体" w:eastAsia="仿宋_GB2312" w:cs="宋体"/>
          <w:b w:val="0"/>
          <w:bCs w:val="0"/>
          <w:sz w:val="32"/>
          <w:szCs w:val="32"/>
        </w:rPr>
        <w:t>.</w:t>
      </w:r>
      <w:r>
        <w:rPr>
          <w:rFonts w:hint="eastAsia" w:ascii="仿宋_GB2312" w:hAnsi="黑体" w:eastAsia="仿宋_GB2312"/>
          <w:b w:val="0"/>
          <w:bCs w:val="0"/>
          <w:snapToGrid w:val="0"/>
          <w:spacing w:val="-4"/>
          <w:kern w:val="0"/>
          <w:sz w:val="32"/>
          <w:szCs w:val="32"/>
        </w:rPr>
        <w:t>未按规定提取职工教育培训经费。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黑体" w:eastAsia="仿宋_GB2312" w:cs="宋体"/>
          <w:b w:val="0"/>
          <w:bCs w:val="0"/>
          <w:sz w:val="32"/>
          <w:szCs w:val="32"/>
        </w:rPr>
      </w:pPr>
      <w:r>
        <w:rPr>
          <w:rFonts w:ascii="仿宋_GB2312" w:hAnsi="黑体" w:eastAsia="仿宋_GB2312" w:cs="宋体"/>
          <w:b w:val="0"/>
          <w:bCs w:val="0"/>
          <w:sz w:val="32"/>
          <w:szCs w:val="32"/>
        </w:rPr>
        <w:t>6</w:t>
      </w:r>
      <w:r>
        <w:rPr>
          <w:rFonts w:hint="eastAsia" w:ascii="仿宋_GB2312" w:hAnsi="黑体" w:eastAsia="仿宋_GB2312" w:cs="宋体"/>
          <w:b w:val="0"/>
          <w:bCs w:val="0"/>
          <w:sz w:val="32"/>
          <w:szCs w:val="32"/>
        </w:rPr>
        <w:t>.</w:t>
      </w:r>
      <w:r>
        <w:rPr>
          <w:rFonts w:hint="eastAsia" w:ascii="仿宋_GB2312" w:hAnsi="黑体" w:eastAsia="仿宋_GB2312"/>
          <w:b w:val="0"/>
          <w:bCs w:val="0"/>
          <w:snapToGrid w:val="0"/>
          <w:spacing w:val="-4"/>
          <w:kern w:val="0"/>
          <w:sz w:val="32"/>
          <w:szCs w:val="32"/>
        </w:rPr>
        <w:t>财务开支混乱，审核把关不严，存在资金监管风险。</w:t>
      </w:r>
    </w:p>
    <w:p>
      <w:pPr>
        <w:spacing w:line="570" w:lineRule="exact"/>
        <w:ind w:firstLine="643" w:firstLineChars="200"/>
        <w:rPr>
          <w:rFonts w:hint="eastAsia"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（六）</w:t>
      </w:r>
      <w:r>
        <w:rPr>
          <w:rStyle w:val="6"/>
          <w:rFonts w:hint="eastAsia" w:ascii="楷体_GB2312" w:hAnsi="黑体" w:eastAsia="楷体_GB2312"/>
          <w:bCs w:val="0"/>
          <w:color w:val="000000"/>
          <w:sz w:val="32"/>
          <w:szCs w:val="32"/>
        </w:rPr>
        <w:t>其他方面</w:t>
      </w:r>
      <w:r>
        <w:rPr>
          <w:rFonts w:hint="eastAsia" w:ascii="楷体_GB2312" w:hAnsi="宋体" w:eastAsia="楷体_GB2312" w:cs="宋体"/>
          <w:b/>
          <w:color w:val="000000"/>
          <w:sz w:val="32"/>
          <w:szCs w:val="32"/>
        </w:rPr>
        <w:t> </w:t>
      </w:r>
    </w:p>
    <w:p>
      <w:pPr>
        <w:spacing w:line="570" w:lineRule="exact"/>
        <w:ind w:firstLine="640" w:firstLineChars="20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</w:rPr>
        <w:t>1.下属分支机构未按规定公示年度报告。</w:t>
      </w:r>
    </w:p>
    <w:p>
      <w:pPr>
        <w:spacing w:line="570" w:lineRule="exact"/>
        <w:ind w:firstLine="640" w:firstLineChars="20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hAnsi="黑体" w:eastAsia="仿宋_GB2312"/>
          <w:b w:val="0"/>
          <w:bCs w:val="0"/>
          <w:color w:val="000000"/>
          <w:sz w:val="32"/>
          <w:szCs w:val="32"/>
        </w:rPr>
        <w:t>2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</w:rPr>
        <w:t>.区国资公司违规出借国有资产监管资金专款，涉及金额90万元。</w:t>
      </w:r>
    </w:p>
    <w:p>
      <w:pPr>
        <w:spacing w:line="570" w:lineRule="exact"/>
        <w:ind w:firstLine="640" w:firstLineChars="200"/>
        <w:rPr>
          <w:rFonts w:ascii="仿宋_GB2312" w:hAnsi="仿宋" w:eastAsia="仿宋_GB2312"/>
          <w:b w:val="0"/>
          <w:bCs w:val="0"/>
          <w:sz w:val="32"/>
          <w:szCs w:val="32"/>
        </w:rPr>
      </w:pPr>
      <w:r>
        <w:rPr>
          <w:rFonts w:ascii="仿宋_GB2312" w:hAnsi="黑体" w:eastAsia="仿宋_GB2312"/>
          <w:b w:val="0"/>
          <w:bCs w:val="0"/>
          <w:color w:val="000000"/>
          <w:sz w:val="32"/>
          <w:szCs w:val="32"/>
        </w:rPr>
        <w:t>3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</w:rPr>
        <w:t>.区财政局、国资公司未按规定开展经营业绩考核。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黑体" w:hAnsi="黑体" w:eastAsia="黑体"/>
          <w:bCs/>
          <w:snapToGrid w:val="0"/>
          <w:spacing w:val="-4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spacing w:val="-4"/>
          <w:kern w:val="0"/>
          <w:sz w:val="32"/>
          <w:szCs w:val="32"/>
        </w:rPr>
        <w:t>四、审计建议</w:t>
      </w:r>
    </w:p>
    <w:p>
      <w:pPr>
        <w:spacing w:line="57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（一）贯彻落实国家“三重一大”决策要求，建立健全公司三重一大决策制度及议事规则，规范决策行为，杜绝个人决定重大事项，防范决策风险。</w:t>
      </w:r>
    </w:p>
    <w:p>
      <w:pPr>
        <w:spacing w:line="57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完善公司内部管理制度，逐步改变挂靠挂证经营方式，根据公司经营业务需要市场化公开招工用工，落实法定事项公开、职工工资发放、职工教育经费提取，强化合同审核、编号及应收款项台账日常监管，落实专人编制年度预算，逐步实现全面预算管理。</w:t>
      </w:r>
    </w:p>
    <w:p>
      <w:pPr>
        <w:spacing w:line="57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（三）强化对经理层个人重大事项报告的监督管理，做好与上级主管部门、监督部门沟通工作，按要求及时报告个人重大事项。</w:t>
      </w:r>
    </w:p>
    <w:p>
      <w:pPr>
        <w:spacing w:line="57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（四）做好资产管理工作，定期组织资产清查，核实房产使用情况及现状，严格按照规定反映及上报资产并做好公司产权登记工作。</w:t>
      </w:r>
    </w:p>
    <w:p>
      <w:pPr>
        <w:spacing w:line="57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（五）加大财务开支监管力度，规范财务核算行为，确保各项收支严格审核把关、及时入账，依法依规登记现金日记账，完善公司账簿。</w:t>
      </w:r>
    </w:p>
    <w:p>
      <w:pPr>
        <w:spacing w:line="57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（六）加强下属营业分支机构监督管理，督促有关人员及时办理企业信息公示，按时报送年度报告。</w:t>
      </w:r>
    </w:p>
    <w:p>
      <w:pPr>
        <w:spacing w:line="57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七）积极解决国企改革与监管存在的问题，以改革促进监管、以监管推进改革。加强与主管部门、出资机构、监督部门之间协调配合，积极推进国有企业改革，完善国有资本监管方式，增强国有企业活力，长期动态监管国有企业。</w:t>
      </w:r>
    </w:p>
    <w:p>
      <w:pPr>
        <w:spacing w:line="57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bookmarkStart w:id="12" w:name="_GoBack"/>
      <w:bookmarkEnd w:id="12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GUxMTBjNjRhNDY3YmE5ZjVhZTU3NGM5YTRkN2MifQ=="/>
  </w:docVars>
  <w:rsids>
    <w:rsidRoot w:val="00000000"/>
    <w:rsid w:val="627A1538"/>
    <w:rsid w:val="6B6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2011</Words>
  <Characters>2359</Characters>
  <Lines>0</Lines>
  <Paragraphs>0</Paragraphs>
  <TotalTime>0</TotalTime>
  <ScaleCrop>false</ScaleCrop>
  <LinksUpToDate>false</LinksUpToDate>
  <CharactersWithSpaces>2401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2022-05-31T05:08:00Z</dcterms:created>
  <dc:creator>Administrator</dc:creator>
  <cp:lastModifiedBy>Administrator</cp:lastModifiedBy>
  <dcterms:modified xsi:type="dcterms:W3CDTF">2022-05-31T05:11:05Z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E1487CBE9F5D461095D8EBE44909D729</vt:lpwstr>
  </property>
</Properties>
</file>