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ind w:firstLine="1076" w:firstLineChars="200"/>
        <w:jc w:val="center"/>
        <w:rPr>
          <w:rFonts w:asciiTheme="majorEastAsia" w:hAnsiTheme="majorEastAsia" w:eastAsiaTheme="majorEastAsia"/>
          <w:b/>
          <w:color w:val="333333"/>
          <w:spacing w:val="8"/>
          <w:sz w:val="52"/>
          <w:szCs w:val="52"/>
        </w:rPr>
      </w:pPr>
      <w:r>
        <w:rPr>
          <w:rFonts w:hint="eastAsia" w:asciiTheme="majorEastAsia" w:hAnsiTheme="majorEastAsia" w:eastAsiaTheme="majorEastAsia"/>
          <w:b/>
          <w:color w:val="333333"/>
          <w:spacing w:val="8"/>
          <w:sz w:val="52"/>
          <w:szCs w:val="52"/>
        </w:rPr>
        <w:t>湛江市</w:t>
      </w:r>
      <w:r>
        <w:rPr>
          <w:rFonts w:hint="eastAsia" w:asciiTheme="majorEastAsia" w:hAnsiTheme="majorEastAsia" w:eastAsiaTheme="majorEastAsia"/>
          <w:b/>
          <w:color w:val="333333"/>
          <w:spacing w:val="8"/>
          <w:sz w:val="52"/>
          <w:szCs w:val="52"/>
          <w:lang w:eastAsia="zh-CN"/>
        </w:rPr>
        <w:t>坡头区</w:t>
      </w:r>
      <w:r>
        <w:rPr>
          <w:rFonts w:hint="eastAsia" w:asciiTheme="majorEastAsia" w:hAnsiTheme="majorEastAsia" w:eastAsiaTheme="majorEastAsia"/>
          <w:b/>
          <w:color w:val="333333"/>
          <w:spacing w:val="8"/>
          <w:sz w:val="52"/>
          <w:szCs w:val="52"/>
        </w:rPr>
        <w:t>人民政府</w:t>
      </w:r>
    </w:p>
    <w:p>
      <w:pPr>
        <w:spacing w:after="0" w:line="560" w:lineRule="exact"/>
        <w:ind w:firstLine="1076" w:firstLineChars="200"/>
        <w:jc w:val="center"/>
        <w:rPr>
          <w:rFonts w:asciiTheme="majorEastAsia" w:hAnsiTheme="majorEastAsia" w:eastAsiaTheme="majorEastAsia"/>
          <w:b/>
          <w:color w:val="333333"/>
          <w:spacing w:val="8"/>
          <w:sz w:val="52"/>
          <w:szCs w:val="52"/>
        </w:rPr>
      </w:pPr>
    </w:p>
    <w:p>
      <w:pPr>
        <w:spacing w:after="0" w:line="560" w:lineRule="exact"/>
        <w:ind w:firstLine="915" w:firstLineChars="200"/>
        <w:jc w:val="center"/>
        <w:rPr>
          <w:rFonts w:asciiTheme="majorEastAsia" w:hAnsiTheme="majorEastAsia" w:eastAsiaTheme="majorEastAsia"/>
          <w:b/>
          <w:color w:val="333333"/>
          <w:spacing w:val="8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color w:val="333333"/>
          <w:spacing w:val="8"/>
          <w:sz w:val="44"/>
          <w:szCs w:val="44"/>
        </w:rPr>
        <w:t>森林防火禁火令</w:t>
      </w:r>
    </w:p>
    <w:p>
      <w:pPr>
        <w:spacing w:after="0" w:line="560" w:lineRule="exact"/>
        <w:ind w:firstLine="915" w:firstLineChars="200"/>
        <w:jc w:val="center"/>
        <w:rPr>
          <w:rFonts w:asciiTheme="majorEastAsia" w:hAnsiTheme="majorEastAsia" w:eastAsiaTheme="majorEastAsia"/>
          <w:b/>
          <w:color w:val="333333"/>
          <w:spacing w:val="8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color w:val="333333"/>
          <w:spacing w:val="8"/>
          <w:sz w:val="44"/>
          <w:szCs w:val="44"/>
        </w:rPr>
        <w:t>(</w:t>
      </w:r>
      <w:r>
        <w:rPr>
          <w:rFonts w:hint="eastAsia" w:asciiTheme="majorEastAsia" w:hAnsiTheme="majorEastAsia" w:eastAsiaTheme="majorEastAsia"/>
          <w:b/>
          <w:color w:val="333333"/>
          <w:spacing w:val="8"/>
          <w:sz w:val="44"/>
          <w:szCs w:val="44"/>
          <w:lang w:eastAsia="zh-CN"/>
        </w:rPr>
        <w:t>征求意见</w:t>
      </w:r>
      <w:r>
        <w:rPr>
          <w:rFonts w:hint="eastAsia" w:asciiTheme="majorEastAsia" w:hAnsiTheme="majorEastAsia" w:eastAsiaTheme="majorEastAsia"/>
          <w:b/>
          <w:color w:val="333333"/>
          <w:spacing w:val="8"/>
          <w:sz w:val="44"/>
          <w:szCs w:val="44"/>
        </w:rPr>
        <w:t>稿)</w:t>
      </w:r>
      <w:bookmarkStart w:id="0" w:name="_GoBack"/>
      <w:bookmarkEnd w:id="0"/>
    </w:p>
    <w:p>
      <w:pPr>
        <w:pStyle w:val="7"/>
        <w:shd w:val="clear" w:color="auto" w:fill="FFFFFF"/>
        <w:spacing w:after="0" w:line="560" w:lineRule="exact"/>
        <w:ind w:left="640" w:firstLine="0" w:firstLineChars="0"/>
        <w:jc w:val="center"/>
        <w:rPr>
          <w:rFonts w:ascii="仿宋_GB2312" w:hAnsi="微软雅黑" w:eastAsia="仿宋_GB2312"/>
          <w:color w:val="FF0000"/>
          <w:sz w:val="32"/>
          <w:szCs w:val="32"/>
        </w:rPr>
      </w:pPr>
      <w:r>
        <w:rPr>
          <w:rFonts w:hint="eastAsia" w:ascii="仿宋_GB2312" w:hAnsi="微软雅黑" w:eastAsia="仿宋_GB2312"/>
          <w:color w:val="FF0000"/>
          <w:sz w:val="32"/>
          <w:szCs w:val="32"/>
        </w:rPr>
        <w:t>（依据《广东条例》28条）</w:t>
      </w:r>
    </w:p>
    <w:p>
      <w:pPr>
        <w:spacing w:after="0" w:line="560" w:lineRule="exact"/>
        <w:ind w:firstLine="915" w:firstLineChars="200"/>
        <w:jc w:val="center"/>
        <w:rPr>
          <w:rFonts w:asciiTheme="majorEastAsia" w:hAnsiTheme="majorEastAsia" w:eastAsiaTheme="majorEastAsia"/>
          <w:b/>
          <w:color w:val="333333"/>
          <w:spacing w:val="8"/>
          <w:sz w:val="44"/>
          <w:szCs w:val="44"/>
        </w:rPr>
      </w:pPr>
    </w:p>
    <w:p>
      <w:pPr>
        <w:spacing w:after="0" w:line="560" w:lineRule="exact"/>
        <w:ind w:firstLine="672" w:firstLineChars="200"/>
        <w:jc w:val="center"/>
        <w:rPr>
          <w:rFonts w:ascii="仿宋_GB2312" w:hAnsi="微软雅黑" w:eastAsia="仿宋_GB2312"/>
          <w:color w:val="333333"/>
          <w:spacing w:val="8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pacing w:val="8"/>
          <w:sz w:val="32"/>
          <w:szCs w:val="32"/>
        </w:rPr>
        <w:t>湛</w:t>
      </w:r>
      <w:r>
        <w:rPr>
          <w:rFonts w:hint="eastAsia" w:ascii="仿宋_GB2312" w:hAnsi="微软雅黑" w:eastAsia="仿宋_GB2312"/>
          <w:color w:val="333333"/>
          <w:spacing w:val="8"/>
          <w:sz w:val="32"/>
          <w:szCs w:val="32"/>
          <w:lang w:eastAsia="zh-CN"/>
        </w:rPr>
        <w:t>坡</w:t>
      </w:r>
      <w:r>
        <w:rPr>
          <w:rFonts w:hint="eastAsia" w:ascii="仿宋_GB2312" w:hAnsi="微软雅黑" w:eastAsia="仿宋_GB2312"/>
          <w:color w:val="333333"/>
          <w:spacing w:val="8"/>
          <w:sz w:val="32"/>
          <w:szCs w:val="32"/>
        </w:rPr>
        <w:t>府令〔202</w:t>
      </w:r>
      <w:r>
        <w:rPr>
          <w:rFonts w:hint="eastAsia" w:ascii="仿宋_GB2312" w:hAnsi="微软雅黑" w:eastAsia="仿宋_GB2312"/>
          <w:color w:val="333333"/>
          <w:spacing w:val="8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/>
          <w:color w:val="333333"/>
          <w:spacing w:val="8"/>
          <w:sz w:val="32"/>
          <w:szCs w:val="32"/>
        </w:rPr>
        <w:t>〕*号</w:t>
      </w:r>
    </w:p>
    <w:p>
      <w:pPr>
        <w:spacing w:after="0" w:line="560" w:lineRule="exact"/>
        <w:ind w:firstLine="672" w:firstLineChars="200"/>
        <w:jc w:val="center"/>
        <w:rPr>
          <w:rFonts w:ascii="仿宋_GB2312" w:hAnsi="微软雅黑" w:eastAsia="仿宋_GB2312"/>
          <w:color w:val="333333"/>
          <w:spacing w:val="8"/>
          <w:sz w:val="32"/>
          <w:szCs w:val="32"/>
        </w:rPr>
      </w:pPr>
    </w:p>
    <w:p>
      <w:pPr>
        <w:spacing w:after="0" w:line="560" w:lineRule="exact"/>
        <w:ind w:firstLine="672" w:firstLineChars="200"/>
        <w:jc w:val="center"/>
        <w:rPr>
          <w:rFonts w:ascii="仿宋_GB2312" w:hAnsi="微软雅黑" w:eastAsia="仿宋_GB2312"/>
          <w:color w:val="333333"/>
          <w:spacing w:val="8"/>
          <w:sz w:val="32"/>
          <w:szCs w:val="32"/>
        </w:rPr>
      </w:pPr>
    </w:p>
    <w:p>
      <w:pPr>
        <w:spacing w:after="0" w:line="600" w:lineRule="exact"/>
        <w:ind w:firstLine="672" w:firstLineChars="200"/>
        <w:jc w:val="both"/>
        <w:rPr>
          <w:rFonts w:ascii="仿宋_GB2312" w:hAnsi="微软雅黑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微软雅黑" w:eastAsia="仿宋_GB2312"/>
          <w:color w:val="000000" w:themeColor="text1"/>
          <w:spacing w:val="8"/>
          <w:sz w:val="32"/>
          <w:szCs w:val="32"/>
        </w:rPr>
        <w:t>清明期间，是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森林火灾高发时段</w:t>
      </w:r>
      <w:r>
        <w:rPr>
          <w:rFonts w:hint="eastAsia" w:ascii="仿宋_GB2312" w:hAnsi="微软雅黑" w:eastAsia="仿宋_GB2312"/>
          <w:color w:val="000000" w:themeColor="text1"/>
          <w:spacing w:val="8"/>
          <w:sz w:val="32"/>
          <w:szCs w:val="32"/>
        </w:rPr>
        <w:t>，为防止森林火灾发生，保护森林资源和生态环境，保障人民群众生命财产安全。根据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《广东省森林防火条例》等相关规定，特发布森林防火禁火令。</w:t>
      </w:r>
    </w:p>
    <w:p>
      <w:pPr>
        <w:pStyle w:val="7"/>
        <w:numPr>
          <w:ilvl w:val="0"/>
          <w:numId w:val="1"/>
        </w:numPr>
        <w:shd w:val="clear" w:color="auto" w:fill="FFFFFF"/>
        <w:spacing w:after="0" w:line="600" w:lineRule="exact"/>
        <w:ind w:left="0" w:firstLine="640"/>
        <w:jc w:val="both"/>
        <w:rPr>
          <w:rFonts w:ascii="仿宋_GB2312" w:hAnsi="微软雅黑" w:eastAsia="仿宋_GB2312"/>
          <w:color w:val="FF0000"/>
          <w:sz w:val="32"/>
          <w:szCs w:val="32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禁火时间：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lang w:eastAsia="zh-CN"/>
        </w:rPr>
        <w:t>每年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4月1日起至4月12日止（清明期间）。</w:t>
      </w:r>
      <w:r>
        <w:rPr>
          <w:rFonts w:hint="eastAsia" w:ascii="仿宋_GB2312" w:hAnsi="微软雅黑" w:eastAsia="仿宋_GB2312"/>
          <w:color w:val="FF0000"/>
          <w:sz w:val="32"/>
          <w:szCs w:val="32"/>
        </w:rPr>
        <w:t>（依据《广东条例》28条）</w:t>
      </w:r>
    </w:p>
    <w:p>
      <w:pPr>
        <w:pStyle w:val="7"/>
        <w:numPr>
          <w:ilvl w:val="0"/>
          <w:numId w:val="1"/>
        </w:numPr>
        <w:shd w:val="clear" w:color="auto" w:fill="FFFFFF"/>
        <w:spacing w:after="0" w:line="600" w:lineRule="exact"/>
        <w:ind w:left="0" w:firstLine="640"/>
        <w:jc w:val="both"/>
        <w:rPr>
          <w:rFonts w:ascii="仿宋_GB2312" w:hAnsi="微软雅黑" w:eastAsia="仿宋_GB2312"/>
          <w:color w:val="FF0000"/>
          <w:sz w:val="32"/>
          <w:szCs w:val="32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禁火范围：湛江市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lang w:eastAsia="zh-CN"/>
        </w:rPr>
        <w:t>坡头区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行政区域的林地及距林地边缘30米范围内。</w:t>
      </w:r>
      <w:r>
        <w:rPr>
          <w:rFonts w:hint="eastAsia" w:ascii="仿宋_GB2312" w:hAnsi="微软雅黑" w:eastAsia="仿宋_GB2312"/>
          <w:color w:val="FF0000"/>
          <w:sz w:val="32"/>
          <w:szCs w:val="32"/>
        </w:rPr>
        <w:t>（依据《广东条例》17条）</w:t>
      </w:r>
    </w:p>
    <w:p>
      <w:pPr>
        <w:pStyle w:val="7"/>
        <w:numPr>
          <w:ilvl w:val="0"/>
          <w:numId w:val="1"/>
        </w:numPr>
        <w:shd w:val="clear" w:color="auto" w:fill="FFFFFF"/>
        <w:spacing w:after="0" w:line="600" w:lineRule="exact"/>
        <w:ind w:left="0" w:firstLine="640"/>
        <w:jc w:val="both"/>
        <w:rPr>
          <w:rFonts w:ascii="仿宋_GB2312" w:hAnsi="微软雅黑" w:eastAsia="仿宋_GB2312"/>
          <w:color w:val="FF0000"/>
          <w:sz w:val="32"/>
          <w:szCs w:val="32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在禁火期间、禁火范围野外禁止下列行为：</w:t>
      </w:r>
      <w:r>
        <w:rPr>
          <w:rFonts w:hint="eastAsia" w:ascii="仿宋_GB2312" w:hAnsi="微软雅黑" w:eastAsia="仿宋_GB2312"/>
          <w:color w:val="FF0000"/>
          <w:sz w:val="32"/>
          <w:szCs w:val="32"/>
        </w:rPr>
        <w:t>（依据《广东条例》24条）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微软雅黑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（一）上坟烧纸、烧香点烛等；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微软雅黑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（二）燃放烟花爆竹、孔明灯等；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微软雅黑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（三）携带易燃易爆物品；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微软雅黑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（四）吸烟、野炊、烧烤、烤火取暖；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微软雅黑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（五）烧黄蜂、熏蛇鼠、烧山狩猎；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微软雅黑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（六）炼山、烧杂、烧灰积肥、烧荒烧炭或者烧田基草、甘蔗叶、稻草、果园草等；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微软雅黑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（七）其他容易引起森林火灾的用火行为。</w:t>
      </w:r>
    </w:p>
    <w:p>
      <w:pPr>
        <w:pStyle w:val="7"/>
        <w:numPr>
          <w:ilvl w:val="0"/>
          <w:numId w:val="1"/>
        </w:numPr>
        <w:shd w:val="clear" w:color="auto" w:fill="FFFFFF"/>
        <w:spacing w:after="0" w:line="600" w:lineRule="exact"/>
        <w:ind w:left="0" w:firstLine="640"/>
        <w:jc w:val="both"/>
        <w:rPr>
          <w:rFonts w:ascii="仿宋_GB2312" w:hAnsi="微软雅黑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在禁火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期内，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lang w:eastAsia="zh-CN"/>
        </w:rPr>
        <w:t>县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级人民政府可以在森林防火区设立临时性森林防火检查站。对进入防火区的车辆和人员进行森林防火安全检查，对携带的火种、易燃易爆物品及其他可能引起森林火灾的物品，实行集中保管，任何单位和个人不得拒绝、阻碍</w:t>
      </w:r>
      <w:r>
        <w:rPr>
          <w:rFonts w:hint="eastAsia" w:ascii="仿宋_GB2312" w:hAnsi="微软雅黑" w:eastAsia="仿宋_GB2312"/>
          <w:color w:val="FF0000"/>
          <w:sz w:val="32"/>
          <w:szCs w:val="32"/>
        </w:rPr>
        <w:t>。（依据《广东条例》27条）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微软雅黑" w:eastAsia="仿宋_GB2312"/>
          <w:color w:val="FF0000"/>
          <w:sz w:val="32"/>
          <w:szCs w:val="32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五、违反本禁火令者，由公安机关依照《中华人民共和国治安管理处罚法》的规定给予处罚。涉嫌犯罪的，移送司法机关依法处理。</w:t>
      </w:r>
      <w:r>
        <w:rPr>
          <w:rFonts w:hint="eastAsia" w:ascii="仿宋_GB2312" w:hAnsi="微软雅黑" w:eastAsia="仿宋_GB2312"/>
          <w:color w:val="FF0000"/>
          <w:sz w:val="32"/>
          <w:szCs w:val="32"/>
        </w:rPr>
        <w:t>（依据《广东条例》44条）</w:t>
      </w:r>
    </w:p>
    <w:p>
      <w:pPr>
        <w:pStyle w:val="7"/>
        <w:spacing w:after="0" w:line="600" w:lineRule="exact"/>
        <w:ind w:firstLine="640"/>
        <w:jc w:val="both"/>
        <w:rPr>
          <w:rFonts w:hint="default" w:ascii="仿宋_GB2312" w:hAnsi="微软雅黑" w:eastAsia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  <w:lang w:eastAsia="zh-CN"/>
        </w:rPr>
        <w:t>六、禁火令自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lang w:val="en-US" w:eastAsia="zh-CN"/>
        </w:rPr>
        <w:t>2023年4月1日起施行，有效期5年。</w:t>
      </w:r>
      <w:r>
        <w:rPr>
          <w:rFonts w:hint="eastAsia" w:ascii="仿宋_GB2312" w:hAnsi="微软雅黑" w:eastAsia="仿宋_GB2312"/>
          <w:color w:val="FF0000"/>
          <w:sz w:val="32"/>
          <w:szCs w:val="32"/>
        </w:rPr>
        <w:t>（依据《</w:t>
      </w:r>
      <w:r>
        <w:rPr>
          <w:rFonts w:hint="eastAsia" w:ascii="仿宋_GB2312" w:hAnsi="微软雅黑" w:eastAsia="仿宋_GB2312"/>
          <w:color w:val="FF0000"/>
          <w:sz w:val="32"/>
          <w:szCs w:val="32"/>
          <w:lang w:eastAsia="zh-CN"/>
        </w:rPr>
        <w:t>广东省行政规范性文件管理规定</w:t>
      </w:r>
      <w:r>
        <w:rPr>
          <w:rFonts w:hint="eastAsia" w:ascii="仿宋_GB2312" w:hAnsi="微软雅黑" w:eastAsia="仿宋_GB2312"/>
          <w:color w:val="FF0000"/>
          <w:sz w:val="32"/>
          <w:szCs w:val="32"/>
        </w:rPr>
        <w:t>》</w:t>
      </w:r>
      <w:r>
        <w:rPr>
          <w:rFonts w:hint="eastAsia" w:ascii="仿宋_GB2312" w:hAnsi="微软雅黑" w:eastAsia="仿宋_GB2312"/>
          <w:color w:val="FF0000"/>
          <w:sz w:val="32"/>
          <w:szCs w:val="32"/>
          <w:lang w:eastAsia="zh-CN"/>
        </w:rPr>
        <w:t>第十二</w:t>
      </w:r>
      <w:r>
        <w:rPr>
          <w:rFonts w:hint="eastAsia" w:ascii="仿宋_GB2312" w:hAnsi="微软雅黑" w:eastAsia="仿宋_GB2312"/>
          <w:color w:val="FF0000"/>
          <w:sz w:val="32"/>
          <w:szCs w:val="32"/>
        </w:rPr>
        <w:t>条）</w:t>
      </w:r>
    </w:p>
    <w:p>
      <w:pPr>
        <w:spacing w:after="0" w:line="600" w:lineRule="exact"/>
        <w:ind w:firstLine="4480" w:firstLineChars="1400"/>
        <w:jc w:val="both"/>
        <w:rPr>
          <w:rFonts w:hint="eastAsia" w:ascii="仿宋_GB2312" w:eastAsia="仿宋_GB2312"/>
          <w:color w:val="000000" w:themeColor="text1"/>
          <w:sz w:val="32"/>
          <w:szCs w:val="32"/>
        </w:rPr>
      </w:pPr>
    </w:p>
    <w:p>
      <w:pPr>
        <w:spacing w:after="0" w:line="600" w:lineRule="exact"/>
        <w:ind w:firstLine="4480" w:firstLineChars="1400"/>
        <w:jc w:val="both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湛江市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坡头区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人民政府</w:t>
      </w:r>
    </w:p>
    <w:p>
      <w:pPr>
        <w:spacing w:after="0" w:line="600" w:lineRule="exact"/>
        <w:ind w:firstLine="4800" w:firstLineChars="1500"/>
        <w:jc w:val="both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202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年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29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E95542"/>
    <w:multiLevelType w:val="multilevel"/>
    <w:tmpl w:val="69E95542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color w:val="000000" w:themeColor="text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MGQzMjI0NDQxOTgyMDRhOGQ5ZDhmMGIyNDVhYTAzMzEifQ=="/>
  </w:docVars>
  <w:rsids>
    <w:rsidRoot w:val="0039172D"/>
    <w:rsid w:val="00143412"/>
    <w:rsid w:val="0027638C"/>
    <w:rsid w:val="002B5320"/>
    <w:rsid w:val="002B6196"/>
    <w:rsid w:val="002E6641"/>
    <w:rsid w:val="002F74DD"/>
    <w:rsid w:val="00323B43"/>
    <w:rsid w:val="003507FD"/>
    <w:rsid w:val="0039172D"/>
    <w:rsid w:val="003C7212"/>
    <w:rsid w:val="003D37D8"/>
    <w:rsid w:val="003D388E"/>
    <w:rsid w:val="004358AB"/>
    <w:rsid w:val="004A536A"/>
    <w:rsid w:val="004D5101"/>
    <w:rsid w:val="00546013"/>
    <w:rsid w:val="0059342C"/>
    <w:rsid w:val="00594407"/>
    <w:rsid w:val="00673313"/>
    <w:rsid w:val="00681B18"/>
    <w:rsid w:val="006B4281"/>
    <w:rsid w:val="006E2B77"/>
    <w:rsid w:val="007224D5"/>
    <w:rsid w:val="007E6E67"/>
    <w:rsid w:val="00803E3A"/>
    <w:rsid w:val="0084406A"/>
    <w:rsid w:val="008B7726"/>
    <w:rsid w:val="00912487"/>
    <w:rsid w:val="009551B7"/>
    <w:rsid w:val="00A743A9"/>
    <w:rsid w:val="00A8204C"/>
    <w:rsid w:val="00A91B5F"/>
    <w:rsid w:val="00B92778"/>
    <w:rsid w:val="00BC247B"/>
    <w:rsid w:val="00BD5700"/>
    <w:rsid w:val="00CA632E"/>
    <w:rsid w:val="00D04501"/>
    <w:rsid w:val="00DF0C99"/>
    <w:rsid w:val="00E2346F"/>
    <w:rsid w:val="00E33A2F"/>
    <w:rsid w:val="00FE473D"/>
    <w:rsid w:val="00FF2DE0"/>
    <w:rsid w:val="0A6E7F88"/>
    <w:rsid w:val="199071E7"/>
    <w:rsid w:val="1B135BB8"/>
    <w:rsid w:val="1E5D02B5"/>
    <w:rsid w:val="29B104C9"/>
    <w:rsid w:val="38805CDB"/>
    <w:rsid w:val="41C56B66"/>
    <w:rsid w:val="476407AF"/>
    <w:rsid w:val="5A3071BB"/>
    <w:rsid w:val="609B4D82"/>
    <w:rsid w:val="6C3A3CBF"/>
    <w:rsid w:val="7BFA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613</Words>
  <Characters>631</Characters>
  <Lines>4</Lines>
  <Paragraphs>1</Paragraphs>
  <TotalTime>13</TotalTime>
  <ScaleCrop>false</ScaleCrop>
  <LinksUpToDate>false</LinksUpToDate>
  <CharactersWithSpaces>631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2021-02-22T03:29:00Z</dcterms:created>
  <dc:creator>叶亲柏</dc:creator>
  <cp:lastModifiedBy>Administrator</cp:lastModifiedBy>
  <dcterms:modified xsi:type="dcterms:W3CDTF">2023-02-14T03:17:47Z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315E750001D34366977F87D4ED902E59</vt:lpwstr>
  </property>
</Properties>
</file>